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CB22C4" w14:textId="77777777" w:rsidR="00887BFA" w:rsidRDefault="00887BFA" w:rsidP="00887BFA">
      <w:pPr>
        <w:tabs>
          <w:tab w:val="left" w:pos="426"/>
        </w:tabs>
        <w:spacing w:before="0" w:after="120"/>
        <w:ind w:right="-6"/>
        <w:outlineLvl w:val="0"/>
        <w:rPr>
          <w:rFonts w:ascii="Trebuchet MS" w:hAnsi="Trebuchet MS"/>
          <w:b/>
          <w:sz w:val="24"/>
          <w:szCs w:val="24"/>
          <w:lang w:val="pt-PT"/>
        </w:rPr>
      </w:pPr>
      <w:bookmarkStart w:id="0" w:name="_GoBack"/>
      <w:bookmarkEnd w:id="0"/>
    </w:p>
    <w:p w14:paraId="670184EF" w14:textId="77777777" w:rsidR="00887BFA" w:rsidRPr="0075200C" w:rsidRDefault="00887BFA" w:rsidP="00887BFA">
      <w:pPr>
        <w:tabs>
          <w:tab w:val="left" w:pos="426"/>
        </w:tabs>
        <w:spacing w:before="0" w:after="120"/>
        <w:ind w:right="-6"/>
        <w:jc w:val="center"/>
        <w:outlineLvl w:val="0"/>
        <w:rPr>
          <w:rFonts w:ascii="Trebuchet MS" w:hAnsi="Trebuchet MS"/>
          <w:b/>
          <w:sz w:val="24"/>
          <w:szCs w:val="24"/>
          <w:lang w:val="pt-PT"/>
        </w:rPr>
      </w:pPr>
      <w:r w:rsidRPr="0075200C">
        <w:rPr>
          <w:rFonts w:ascii="Trebuchet MS" w:hAnsi="Trebuchet MS"/>
          <w:b/>
          <w:sz w:val="24"/>
          <w:szCs w:val="24"/>
          <w:lang w:val="pt-PT"/>
        </w:rPr>
        <w:t>CADERNO DE ENCARGOS</w:t>
      </w:r>
    </w:p>
    <w:p w14:paraId="4055BF04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sz w:val="19"/>
          <w:szCs w:val="19"/>
          <w:lang w:val="pt-PT"/>
        </w:rPr>
      </w:pPr>
      <w:r w:rsidRPr="006904D2">
        <w:rPr>
          <w:rFonts w:ascii="Trebuchet MS" w:hAnsi="Trebuchet MS"/>
          <w:b/>
          <w:sz w:val="19"/>
          <w:szCs w:val="19"/>
          <w:highlight w:val="yellow"/>
          <w:lang w:val="pt-PT"/>
        </w:rPr>
        <w:t xml:space="preserve">RELATIVO A AQUISIÇÃO DE </w:t>
      </w:r>
      <w:r>
        <w:rPr>
          <w:rFonts w:ascii="Trebuchet MS" w:hAnsi="Trebuchet MS"/>
          <w:b/>
          <w:sz w:val="19"/>
          <w:szCs w:val="19"/>
          <w:highlight w:val="yellow"/>
          <w:lang w:val="pt-PT"/>
        </w:rPr>
        <w:t>_________________________________</w:t>
      </w:r>
    </w:p>
    <w:p w14:paraId="348DC19D" w14:textId="77777777" w:rsidR="00887BFA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sz w:val="19"/>
          <w:szCs w:val="19"/>
          <w:lang w:val="pt-PT"/>
        </w:rPr>
      </w:pPr>
      <w:r w:rsidRPr="0075200C">
        <w:rPr>
          <w:rFonts w:ascii="Trebuchet MS" w:hAnsi="Trebuchet MS"/>
          <w:b/>
          <w:sz w:val="19"/>
          <w:szCs w:val="19"/>
          <w:lang w:val="pt-PT"/>
        </w:rPr>
        <w:t xml:space="preserve"> </w:t>
      </w:r>
    </w:p>
    <w:p w14:paraId="3D49709D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Referência do Procedimento: ABM 00</w:t>
      </w:r>
      <w:r>
        <w:rPr>
          <w:rFonts w:ascii="Trebuchet MS" w:hAnsi="Trebuchet MS"/>
          <w:b/>
          <w:lang w:val="pt-PT"/>
        </w:rPr>
        <w:t>0___</w:t>
      </w:r>
      <w:r w:rsidRPr="0075200C">
        <w:rPr>
          <w:rFonts w:ascii="Trebuchet MS" w:hAnsi="Trebuchet MS"/>
          <w:b/>
          <w:lang w:val="pt-PT"/>
        </w:rPr>
        <w:t>/201</w:t>
      </w:r>
      <w:r>
        <w:rPr>
          <w:rFonts w:ascii="Trebuchet MS" w:hAnsi="Trebuchet MS"/>
          <w:b/>
          <w:lang w:val="pt-PT"/>
        </w:rPr>
        <w:t>5</w:t>
      </w:r>
    </w:p>
    <w:p w14:paraId="457202F0" w14:textId="77777777" w:rsidR="00887BFA" w:rsidRPr="0075200C" w:rsidRDefault="00533DB3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lang w:val="pt-PT"/>
        </w:rPr>
      </w:pPr>
      <w:r>
        <w:rPr>
          <w:rFonts w:ascii="Trebuchet MS" w:hAnsi="Trebuchet MS"/>
          <w:lang w:val="pt-PT"/>
        </w:rPr>
        <w:pict w14:anchorId="7726B2A6">
          <v:rect id="_x0000_i1025" style="width:481.65pt;height:1.5pt" o:hralign="center" o:bordertopcolor="this" o:borderleftcolor="this" o:borderbottomcolor="this" o:borderrightcolor="this" o:hrstd="t" o:hrnoshade="t" o:hr="t" fillcolor="#31849b" stroked="f"/>
        </w:pict>
      </w:r>
    </w:p>
    <w:p w14:paraId="41E78B1A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</w:p>
    <w:p w14:paraId="6AD03D15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1.ª</w:t>
      </w:r>
    </w:p>
    <w:p w14:paraId="51C44A43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Objeto</w:t>
      </w:r>
    </w:p>
    <w:p w14:paraId="7261BB16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O presente Caderno de Encargos compreende as cláusulas a incluir no contrato a celebrar na sequência do procedimento pré-contratual que tem por objeto principal o fornecimento </w:t>
      </w:r>
      <w:r w:rsidRPr="006904D2">
        <w:rPr>
          <w:rFonts w:ascii="Trebuchet MS" w:hAnsi="Trebuchet MS"/>
          <w:highlight w:val="yellow"/>
          <w:lang w:val="pt-PT"/>
        </w:rPr>
        <w:t>de______________________,</w:t>
      </w:r>
      <w:r w:rsidRPr="0075200C">
        <w:rPr>
          <w:rFonts w:ascii="Trebuchet MS" w:hAnsi="Trebuchet MS"/>
          <w:lang w:val="pt-PT"/>
        </w:rPr>
        <w:t xml:space="preserve"> de acordo com a descrição constante do Anexo I ao presente Caderno de Encargos e que dele faz parte integrante.</w:t>
      </w:r>
    </w:p>
    <w:p w14:paraId="2A533786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color w:val="808080"/>
          <w:lang w:val="pt-PT"/>
        </w:rPr>
      </w:pPr>
    </w:p>
    <w:p w14:paraId="5585E552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2.ª</w:t>
      </w:r>
    </w:p>
    <w:p w14:paraId="0CBB6C3C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Contrato</w:t>
      </w:r>
    </w:p>
    <w:p w14:paraId="0D33ED6D" w14:textId="77777777" w:rsidR="00887BFA" w:rsidRPr="0075200C" w:rsidRDefault="00887BFA" w:rsidP="00887BFA">
      <w:pPr>
        <w:numPr>
          <w:ilvl w:val="0"/>
          <w:numId w:val="4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O contrato a celebrar integrará os seguintes elementos:</w:t>
      </w:r>
      <w:r w:rsidRPr="0075200C">
        <w:rPr>
          <w:rFonts w:ascii="Trebuchet MS" w:hAnsi="Trebuchet MS"/>
          <w:color w:val="808080"/>
          <w:sz w:val="22"/>
          <w:lang w:val="pt-PT"/>
        </w:rPr>
        <w:t xml:space="preserve"> </w:t>
      </w:r>
    </w:p>
    <w:p w14:paraId="1C2827D8" w14:textId="77777777" w:rsidR="00887BFA" w:rsidRPr="0075200C" w:rsidRDefault="00887BFA" w:rsidP="00887BFA">
      <w:pPr>
        <w:numPr>
          <w:ilvl w:val="0"/>
          <w:numId w:val="9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O presente Caderno de Encargos; </w:t>
      </w:r>
    </w:p>
    <w:p w14:paraId="4B8D5A9E" w14:textId="77777777" w:rsidR="00887BFA" w:rsidRPr="0075200C" w:rsidRDefault="00887BFA" w:rsidP="00887BFA">
      <w:pPr>
        <w:numPr>
          <w:ilvl w:val="0"/>
          <w:numId w:val="9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A proposta adjudicada; </w:t>
      </w:r>
    </w:p>
    <w:p w14:paraId="08DA2E60" w14:textId="77777777" w:rsidR="00887BFA" w:rsidRPr="0075200C" w:rsidRDefault="00887BFA" w:rsidP="00887BFA">
      <w:pPr>
        <w:numPr>
          <w:ilvl w:val="0"/>
          <w:numId w:val="9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Os esclarecimentos e retificações ao Caderno de Encargos;</w:t>
      </w:r>
    </w:p>
    <w:p w14:paraId="3531DD96" w14:textId="77777777" w:rsidR="00887BFA" w:rsidRPr="0075200C" w:rsidRDefault="00887BFA" w:rsidP="00887BFA">
      <w:pPr>
        <w:numPr>
          <w:ilvl w:val="0"/>
          <w:numId w:val="9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Os esclarecimentos sobre a proposta adjudicada prestados pelo adjudicatário; </w:t>
      </w:r>
    </w:p>
    <w:p w14:paraId="550E8C9F" w14:textId="77777777" w:rsidR="00887BFA" w:rsidRPr="0075200C" w:rsidRDefault="00887BFA" w:rsidP="00887BFA">
      <w:pPr>
        <w:numPr>
          <w:ilvl w:val="0"/>
          <w:numId w:val="9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Quaisquer outros elementos que as partes acordem dever integrar o contrato. </w:t>
      </w:r>
    </w:p>
    <w:p w14:paraId="2A359464" w14:textId="77777777" w:rsidR="00887BFA" w:rsidRPr="0075200C" w:rsidRDefault="00887BFA" w:rsidP="00887BFA">
      <w:pPr>
        <w:numPr>
          <w:ilvl w:val="0"/>
          <w:numId w:val="4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Em caso de divergência entre os documentos referidos no número anterior, a respetiva prevalência é determinada pela ordem pela qual aí são indicados. </w:t>
      </w:r>
    </w:p>
    <w:p w14:paraId="648A97FE" w14:textId="77777777" w:rsidR="00887BFA" w:rsidRPr="0075200C" w:rsidRDefault="00887BFA" w:rsidP="00887BFA">
      <w:pPr>
        <w:tabs>
          <w:tab w:val="left" w:pos="426"/>
        </w:tabs>
        <w:spacing w:before="0" w:after="120"/>
        <w:outlineLvl w:val="0"/>
        <w:rPr>
          <w:rFonts w:ascii="Trebuchet MS" w:hAnsi="Trebuchet MS"/>
          <w:b/>
          <w:lang w:val="pt-PT"/>
        </w:rPr>
      </w:pPr>
    </w:p>
    <w:p w14:paraId="33F5D90B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3.ª</w:t>
      </w:r>
    </w:p>
    <w:p w14:paraId="799458CE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Prazo</w:t>
      </w:r>
    </w:p>
    <w:p w14:paraId="4B1FC08F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O contrato mantém-se em vigor até à </w:t>
      </w:r>
      <w:r>
        <w:rPr>
          <w:rFonts w:ascii="Trebuchet MS" w:hAnsi="Trebuchet MS"/>
          <w:lang w:val="pt-PT"/>
        </w:rPr>
        <w:t>entrega do bem</w:t>
      </w:r>
      <w:r w:rsidRPr="0075200C">
        <w:rPr>
          <w:rFonts w:ascii="Trebuchet MS" w:hAnsi="Trebuchet MS"/>
          <w:lang w:val="pt-PT"/>
        </w:rPr>
        <w:t xml:space="preserve"> nos termos da cláusula 6ª, sem prejuízo das obrigações acessórias que devam perdurar para além da cessação do contrato. </w:t>
      </w:r>
    </w:p>
    <w:p w14:paraId="1C2B132E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</w:p>
    <w:p w14:paraId="3B8B8E66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4.ª</w:t>
      </w:r>
    </w:p>
    <w:p w14:paraId="73E2ABDA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Obrigaç</w:t>
      </w:r>
      <w:r>
        <w:rPr>
          <w:rFonts w:ascii="Trebuchet MS" w:hAnsi="Trebuchet MS"/>
          <w:b/>
          <w:lang w:val="pt-PT"/>
        </w:rPr>
        <w:t>ão principal</w:t>
      </w:r>
      <w:r w:rsidRPr="0075200C">
        <w:rPr>
          <w:rFonts w:ascii="Trebuchet MS" w:hAnsi="Trebuchet MS"/>
          <w:b/>
          <w:lang w:val="pt-PT"/>
        </w:rPr>
        <w:t xml:space="preserve"> do fornecedor</w:t>
      </w:r>
    </w:p>
    <w:p w14:paraId="59E7D15D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Sem prejuízo de outras obrigações previstas na legislação aplicável ou no Caderno de Encargos, da celebração do contrato decorrem para o fornecedor, a obrigação de fornecer ao INESC </w:t>
      </w:r>
      <w:r>
        <w:rPr>
          <w:rFonts w:ascii="Trebuchet MS" w:hAnsi="Trebuchet MS"/>
          <w:lang w:val="pt-PT"/>
        </w:rPr>
        <w:t>TEC</w:t>
      </w:r>
      <w:r w:rsidRPr="0075200C">
        <w:rPr>
          <w:rFonts w:ascii="Trebuchet MS" w:hAnsi="Trebuchet MS"/>
          <w:lang w:val="pt-PT"/>
        </w:rPr>
        <w:t xml:space="preserve"> </w:t>
      </w:r>
      <w:r>
        <w:rPr>
          <w:rFonts w:ascii="Trebuchet MS" w:hAnsi="Trebuchet MS"/>
          <w:lang w:val="pt-PT"/>
        </w:rPr>
        <w:t>os bens descritos na sua proposta</w:t>
      </w:r>
      <w:r w:rsidRPr="0075200C">
        <w:rPr>
          <w:rFonts w:ascii="Trebuchet MS" w:hAnsi="Trebuchet MS"/>
          <w:lang w:val="pt-PT"/>
        </w:rPr>
        <w:t xml:space="preserve">, </w:t>
      </w:r>
      <w:r>
        <w:rPr>
          <w:rFonts w:ascii="Trebuchet MS" w:hAnsi="Trebuchet MS"/>
          <w:lang w:val="pt-PT"/>
        </w:rPr>
        <w:t>nos termos e quantidades propostos</w:t>
      </w:r>
      <w:r w:rsidRPr="0075200C">
        <w:rPr>
          <w:rFonts w:ascii="Trebuchet MS" w:hAnsi="Trebuchet MS"/>
          <w:lang w:val="pt-PT"/>
        </w:rPr>
        <w:t>.</w:t>
      </w:r>
    </w:p>
    <w:p w14:paraId="2D57D0B3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</w:p>
    <w:p w14:paraId="1CEE3CCB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5.ª</w:t>
      </w:r>
    </w:p>
    <w:p w14:paraId="7A9F0272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 xml:space="preserve">Garantia </w:t>
      </w:r>
    </w:p>
    <w:p w14:paraId="412DD34A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lastRenderedPageBreak/>
        <w:t xml:space="preserve">O fornecedor obriga-se a prestar ao INESC </w:t>
      </w:r>
      <w:r>
        <w:rPr>
          <w:rFonts w:ascii="Trebuchet MS" w:hAnsi="Trebuchet MS"/>
          <w:lang w:val="pt-PT"/>
        </w:rPr>
        <w:t>TEC</w:t>
      </w:r>
      <w:r w:rsidRPr="0075200C">
        <w:rPr>
          <w:rFonts w:ascii="Trebuchet MS" w:hAnsi="Trebuchet MS"/>
          <w:lang w:val="pt-PT"/>
        </w:rPr>
        <w:t xml:space="preserve"> a </w:t>
      </w:r>
      <w:r w:rsidRPr="006904D2">
        <w:rPr>
          <w:rFonts w:ascii="Trebuchet MS" w:hAnsi="Trebuchet MS"/>
          <w:highlight w:val="yellow"/>
          <w:lang w:val="pt-PT"/>
        </w:rPr>
        <w:t>garantia mínima de 1 (um) ano</w:t>
      </w:r>
      <w:r w:rsidRPr="0075200C">
        <w:rPr>
          <w:rFonts w:ascii="Trebuchet MS" w:hAnsi="Trebuchet MS"/>
          <w:lang w:val="pt-PT"/>
        </w:rPr>
        <w:t xml:space="preserve"> para os bens a fornecer.</w:t>
      </w:r>
    </w:p>
    <w:p w14:paraId="160F8BBC" w14:textId="77777777" w:rsidR="00887BFA" w:rsidRPr="0075200C" w:rsidRDefault="00887BFA" w:rsidP="00887BFA">
      <w:pPr>
        <w:tabs>
          <w:tab w:val="left" w:pos="426"/>
        </w:tabs>
        <w:spacing w:before="0" w:after="120"/>
        <w:ind w:left="426" w:hanging="66"/>
        <w:jc w:val="center"/>
        <w:outlineLvl w:val="0"/>
        <w:rPr>
          <w:rFonts w:ascii="Trebuchet MS" w:hAnsi="Trebuchet MS"/>
          <w:b/>
          <w:lang w:val="pt-PT"/>
        </w:rPr>
      </w:pPr>
    </w:p>
    <w:p w14:paraId="6D707A92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6.ª</w:t>
      </w:r>
    </w:p>
    <w:p w14:paraId="0F1B13A0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Prazo de entrega</w:t>
      </w:r>
    </w:p>
    <w:p w14:paraId="1CCC99D9" w14:textId="77777777" w:rsidR="00887BFA" w:rsidRPr="0075200C" w:rsidRDefault="00887BFA" w:rsidP="00887BFA">
      <w:pPr>
        <w:spacing w:before="0" w:after="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O fornecedor obriga-se a entregar os bens descritos no Anexo I </w:t>
      </w:r>
      <w:r w:rsidRPr="006904D2">
        <w:rPr>
          <w:rFonts w:ascii="Trebuchet MS" w:hAnsi="Trebuchet MS"/>
          <w:highlight w:val="yellow"/>
          <w:lang w:val="pt-PT"/>
        </w:rPr>
        <w:t>no prazo máximo 30 dias</w:t>
      </w:r>
      <w:r>
        <w:rPr>
          <w:rFonts w:ascii="Trebuchet MS" w:hAnsi="Trebuchet MS"/>
          <w:lang w:val="pt-PT"/>
        </w:rPr>
        <w:t xml:space="preserve"> a contar da data da</w:t>
      </w:r>
      <w:r w:rsidRPr="0075200C">
        <w:rPr>
          <w:rFonts w:ascii="Trebuchet MS" w:hAnsi="Trebuchet MS"/>
          <w:lang w:val="pt-PT"/>
        </w:rPr>
        <w:t xml:space="preserve"> </w:t>
      </w:r>
      <w:r>
        <w:rPr>
          <w:rFonts w:ascii="Trebuchet MS" w:hAnsi="Trebuchet MS"/>
          <w:lang w:val="pt-PT"/>
        </w:rPr>
        <w:t>publicação do relatório de formação do Contrato nos termos do artigo 127ª do CCP</w:t>
      </w:r>
      <w:r w:rsidRPr="0075200C">
        <w:rPr>
          <w:rFonts w:ascii="Trebuchet MS" w:hAnsi="Trebuchet MS"/>
          <w:lang w:val="pt-PT"/>
        </w:rPr>
        <w:t>.</w:t>
      </w:r>
    </w:p>
    <w:p w14:paraId="7036E090" w14:textId="77777777" w:rsidR="00887BFA" w:rsidRPr="0075200C" w:rsidRDefault="00887BFA" w:rsidP="00887BFA">
      <w:pPr>
        <w:pStyle w:val="PargrafodaLista"/>
        <w:spacing w:before="0" w:line="276" w:lineRule="auto"/>
        <w:ind w:left="0"/>
        <w:contextualSpacing w:val="0"/>
        <w:jc w:val="both"/>
        <w:rPr>
          <w:rFonts w:ascii="Trebuchet MS" w:hAnsi="Trebuchet MS"/>
          <w:lang w:val="pt-PT"/>
        </w:rPr>
      </w:pPr>
    </w:p>
    <w:p w14:paraId="0451E023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7.ª</w:t>
      </w:r>
    </w:p>
    <w:p w14:paraId="541060E0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Objeto do dever de sigilo</w:t>
      </w:r>
    </w:p>
    <w:p w14:paraId="13615A21" w14:textId="77777777" w:rsidR="00887BFA" w:rsidRDefault="00887BFA" w:rsidP="00887BFA">
      <w:pPr>
        <w:numPr>
          <w:ilvl w:val="0"/>
          <w:numId w:val="5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O fornecedor deve guardar sigilo sobre toda a informação e documentação, técnica e não técnica, comercial ou outra, relativa ao INESC </w:t>
      </w:r>
      <w:r>
        <w:rPr>
          <w:rFonts w:ascii="Trebuchet MS" w:hAnsi="Trebuchet MS"/>
          <w:lang w:val="pt-PT"/>
        </w:rPr>
        <w:t>TEC</w:t>
      </w:r>
      <w:r w:rsidRPr="0075200C">
        <w:rPr>
          <w:rFonts w:ascii="Trebuchet MS" w:hAnsi="Trebuchet MS"/>
          <w:lang w:val="pt-PT"/>
        </w:rPr>
        <w:t xml:space="preserve">, de que possa ter conhecimento ao abrigo ou em relação com a execução do contrato e que não deva ser tornada pública para efeitos de execução do próprio contrato. </w:t>
      </w:r>
    </w:p>
    <w:p w14:paraId="18CB54EB" w14:textId="77777777" w:rsidR="00887BFA" w:rsidRPr="0075200C" w:rsidRDefault="00887BFA" w:rsidP="00887BFA">
      <w:pPr>
        <w:numPr>
          <w:ilvl w:val="0"/>
          <w:numId w:val="5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A informação e a documentação cobertas pelo dever de sigilo não podem ser transmitidas a terceiros, nem objeto de qualquer uso ou modo de aproveitamento que não</w:t>
      </w:r>
      <w:r w:rsidRPr="0075200C">
        <w:rPr>
          <w:rFonts w:ascii="Trebuchet MS" w:hAnsi="Trebuchet MS"/>
          <w:b/>
          <w:lang w:val="pt-PT"/>
        </w:rPr>
        <w:t xml:space="preserve"> </w:t>
      </w:r>
      <w:r w:rsidRPr="0075200C">
        <w:rPr>
          <w:rFonts w:ascii="Trebuchet MS" w:hAnsi="Trebuchet MS"/>
          <w:lang w:val="pt-PT"/>
        </w:rPr>
        <w:t xml:space="preserve">o destinado direta e exclusivamente à execução do contrato. </w:t>
      </w:r>
    </w:p>
    <w:p w14:paraId="4B85864D" w14:textId="77777777" w:rsidR="00887BFA" w:rsidRPr="0075200C" w:rsidRDefault="00887BFA" w:rsidP="00887BFA">
      <w:pPr>
        <w:numPr>
          <w:ilvl w:val="0"/>
          <w:numId w:val="5"/>
        </w:num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Exclui-se ainda do dever de sigilo previsto a informação e a documentação que fossem comprovadamente do domínio público à data da respetiva obtenção pelo fornecedor ou que este seja legalmente obrigado a revelar, por força da lei, de processo judicial ou a pedido de autoridades reguladoras ou outras entidades administrativas competentes.</w:t>
      </w:r>
    </w:p>
    <w:p w14:paraId="5C7E0406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</w:p>
    <w:p w14:paraId="696D4207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8.ª</w:t>
      </w:r>
    </w:p>
    <w:p w14:paraId="1F8AFD4E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Prazo do dever de sigilo</w:t>
      </w:r>
    </w:p>
    <w:p w14:paraId="32246F5B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O dever de sigilo mantém-se em vigor até ao termo do </w:t>
      </w:r>
      <w:r w:rsidRPr="00156457">
        <w:rPr>
          <w:rFonts w:ascii="Trebuchet MS" w:hAnsi="Trebuchet MS"/>
          <w:highlight w:val="yellow"/>
          <w:lang w:val="pt-PT"/>
        </w:rPr>
        <w:t>prazo de</w:t>
      </w:r>
      <w:r w:rsidRPr="00156457">
        <w:rPr>
          <w:rFonts w:ascii="Trebuchet MS" w:hAnsi="Trebuchet MS"/>
          <w:b/>
          <w:highlight w:val="yellow"/>
          <w:lang w:val="pt-PT"/>
        </w:rPr>
        <w:t xml:space="preserve"> </w:t>
      </w:r>
      <w:r w:rsidRPr="00156457">
        <w:rPr>
          <w:rFonts w:ascii="Trebuchet MS" w:hAnsi="Trebuchet MS"/>
          <w:highlight w:val="yellow"/>
          <w:lang w:val="pt-PT"/>
        </w:rPr>
        <w:t>3 (três) anos</w:t>
      </w:r>
      <w:r w:rsidRPr="0075200C">
        <w:rPr>
          <w:rFonts w:ascii="Trebuchet MS" w:hAnsi="Trebuchet MS"/>
          <w:lang w:val="pt-PT"/>
        </w:rPr>
        <w:t xml:space="preserve"> a contar do cumprimento ou cessação, por qualquer causa, do contrato, sem prejuízo da sujeição subsequente a quaisquer deveres legais relativos, designadamente, à proteção de segredos comerciais ou da credibilidade, do prestígio ou da confiança devidos às pessoas coletivas. </w:t>
      </w:r>
    </w:p>
    <w:p w14:paraId="3AD0BD9E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</w:p>
    <w:p w14:paraId="75071BC7" w14:textId="77777777" w:rsidR="00887BFA" w:rsidRPr="0075200C" w:rsidRDefault="00887BFA" w:rsidP="00887BFA">
      <w:pPr>
        <w:tabs>
          <w:tab w:val="left" w:pos="-142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9.ª</w:t>
      </w:r>
    </w:p>
    <w:p w14:paraId="2CC1A924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Preço contratual</w:t>
      </w:r>
    </w:p>
    <w:p w14:paraId="1C8289B2" w14:textId="77777777" w:rsidR="00887BFA" w:rsidRPr="0075200C" w:rsidRDefault="00887BFA" w:rsidP="00887BFA">
      <w:pPr>
        <w:numPr>
          <w:ilvl w:val="0"/>
          <w:numId w:val="6"/>
        </w:numPr>
        <w:spacing w:before="0" w:after="120"/>
        <w:jc w:val="both"/>
        <w:rPr>
          <w:rFonts w:ascii="Trebuchet MS" w:hAnsi="Trebuchet MS"/>
          <w:lang w:val="pt-PT" w:bidi="ar-SA"/>
        </w:rPr>
      </w:pPr>
      <w:r w:rsidRPr="0075200C">
        <w:rPr>
          <w:rFonts w:ascii="Trebuchet MS" w:hAnsi="Trebuchet MS"/>
          <w:lang w:val="pt-PT" w:bidi="ar-SA"/>
        </w:rPr>
        <w:t>Pelo fornecimento dos bens objeto do contrato, bem como pelo cumprimento das demais obrigações constantes do presente Caderno de Encargos, o INESC</w:t>
      </w:r>
      <w:r w:rsidRPr="0075200C">
        <w:rPr>
          <w:rFonts w:ascii="Trebuchet MS" w:hAnsi="Trebuchet MS"/>
          <w:b/>
          <w:lang w:val="pt-PT" w:bidi="ar-SA"/>
        </w:rPr>
        <w:t xml:space="preserve"> </w:t>
      </w:r>
      <w:r>
        <w:rPr>
          <w:rFonts w:ascii="Trebuchet MS" w:hAnsi="Trebuchet MS"/>
          <w:lang w:val="pt-PT" w:bidi="ar-SA"/>
        </w:rPr>
        <w:t>TEC</w:t>
      </w:r>
      <w:r w:rsidRPr="0075200C">
        <w:rPr>
          <w:rFonts w:ascii="Trebuchet MS" w:hAnsi="Trebuchet MS" w:cs="Calibri"/>
          <w:lang w:val="pt-PT" w:bidi="ar-SA"/>
        </w:rPr>
        <w:t xml:space="preserve"> </w:t>
      </w:r>
      <w:r w:rsidRPr="0075200C">
        <w:rPr>
          <w:rFonts w:ascii="Trebuchet MS" w:hAnsi="Trebuchet MS"/>
          <w:lang w:val="pt-PT" w:bidi="ar-SA"/>
        </w:rPr>
        <w:t>deve pagar ao fornecedor o preço constante da proposta adjudicada, acrescido de IVA à taxa legal em vigor, se este for legalmente devido.</w:t>
      </w:r>
    </w:p>
    <w:p w14:paraId="56E92D4E" w14:textId="77777777" w:rsidR="00887BFA" w:rsidRPr="0075200C" w:rsidRDefault="00887BFA" w:rsidP="00887BFA">
      <w:pPr>
        <w:numPr>
          <w:ilvl w:val="0"/>
          <w:numId w:val="6"/>
        </w:numPr>
        <w:spacing w:before="0" w:after="120"/>
        <w:jc w:val="both"/>
        <w:rPr>
          <w:rFonts w:ascii="Trebuchet MS" w:hAnsi="Trebuchet MS"/>
          <w:lang w:val="pt-PT" w:bidi="ar-SA"/>
        </w:rPr>
      </w:pPr>
      <w:r w:rsidRPr="0075200C">
        <w:rPr>
          <w:rFonts w:ascii="Trebuchet MS" w:hAnsi="Trebuchet MS"/>
          <w:lang w:val="pt-PT" w:bidi="ar-SA"/>
        </w:rPr>
        <w:t xml:space="preserve">O preço </w:t>
      </w:r>
      <w:r>
        <w:rPr>
          <w:rFonts w:ascii="Trebuchet MS" w:hAnsi="Trebuchet MS"/>
          <w:lang w:val="pt-PT" w:bidi="ar-SA"/>
        </w:rPr>
        <w:t>contratual</w:t>
      </w:r>
      <w:r w:rsidRPr="0075200C">
        <w:rPr>
          <w:rFonts w:ascii="Trebuchet MS" w:hAnsi="Trebuchet MS"/>
          <w:lang w:val="pt-PT" w:bidi="ar-SA"/>
        </w:rPr>
        <w:t xml:space="preserve"> não poderá ser superior </w:t>
      </w:r>
      <w:commentRangeStart w:id="1"/>
      <w:r w:rsidRPr="0075200C">
        <w:rPr>
          <w:rFonts w:ascii="Trebuchet MS" w:hAnsi="Trebuchet MS"/>
          <w:lang w:val="pt-PT" w:bidi="ar-SA"/>
        </w:rPr>
        <w:t>a</w:t>
      </w:r>
      <w:commentRangeEnd w:id="1"/>
      <w:r w:rsidR="00156457">
        <w:rPr>
          <w:rStyle w:val="Refdecomentrio"/>
        </w:rPr>
        <w:commentReference w:id="1"/>
      </w:r>
      <w:r w:rsidRPr="0075200C">
        <w:rPr>
          <w:rFonts w:ascii="Trebuchet MS" w:hAnsi="Trebuchet MS"/>
          <w:lang w:val="pt-PT" w:bidi="ar-SA"/>
        </w:rPr>
        <w:t xml:space="preserve"> </w:t>
      </w:r>
      <w:r w:rsidRPr="006904D2">
        <w:rPr>
          <w:rFonts w:ascii="Trebuchet MS" w:hAnsi="Trebuchet MS"/>
          <w:highlight w:val="yellow"/>
          <w:lang w:val="pt-PT" w:bidi="ar-SA"/>
        </w:rPr>
        <w:t>_________________ €</w:t>
      </w:r>
      <w:r w:rsidRPr="0075200C">
        <w:rPr>
          <w:rFonts w:ascii="Trebuchet MS" w:hAnsi="Trebuchet MS"/>
          <w:lang w:val="pt-PT" w:bidi="ar-SA"/>
        </w:rPr>
        <w:t xml:space="preserve"> – preço base do procedimento.</w:t>
      </w:r>
    </w:p>
    <w:p w14:paraId="4A7BF9A7" w14:textId="77777777" w:rsidR="00887BFA" w:rsidRPr="0075200C" w:rsidRDefault="00887BFA" w:rsidP="00887BFA">
      <w:pPr>
        <w:numPr>
          <w:ilvl w:val="0"/>
          <w:numId w:val="6"/>
        </w:numPr>
        <w:spacing w:before="0" w:after="120"/>
        <w:jc w:val="both"/>
        <w:rPr>
          <w:rFonts w:ascii="Trebuchet MS" w:hAnsi="Trebuchet MS"/>
          <w:lang w:val="pt-PT" w:bidi="ar-SA"/>
        </w:rPr>
      </w:pPr>
      <w:r w:rsidRPr="0075200C">
        <w:rPr>
          <w:rFonts w:ascii="Trebuchet MS" w:hAnsi="Trebuchet MS"/>
          <w:lang w:val="pt-PT" w:bidi="ar-SA"/>
        </w:rPr>
        <w:t xml:space="preserve">O preço da </w:t>
      </w:r>
      <w:r w:rsidRPr="006904D2">
        <w:rPr>
          <w:rFonts w:ascii="Trebuchet MS" w:hAnsi="Trebuchet MS"/>
          <w:highlight w:val="yellow"/>
          <w:lang w:val="pt-PT" w:bidi="ar-SA"/>
        </w:rPr>
        <w:t xml:space="preserve">proposta deverá incluir os custos </w:t>
      </w:r>
      <w:commentRangeStart w:id="2"/>
      <w:r w:rsidRPr="006904D2">
        <w:rPr>
          <w:rFonts w:ascii="Trebuchet MS" w:hAnsi="Trebuchet MS"/>
          <w:highlight w:val="yellow"/>
          <w:lang w:val="pt-PT" w:bidi="ar-SA"/>
        </w:rPr>
        <w:t>de</w:t>
      </w:r>
      <w:commentRangeEnd w:id="2"/>
      <w:r w:rsidR="00156457">
        <w:rPr>
          <w:rStyle w:val="Refdecomentrio"/>
        </w:rPr>
        <w:commentReference w:id="2"/>
      </w:r>
      <w:r w:rsidRPr="006904D2">
        <w:rPr>
          <w:rFonts w:ascii="Trebuchet MS" w:hAnsi="Trebuchet MS"/>
          <w:highlight w:val="yellow"/>
          <w:lang w:val="pt-PT" w:bidi="ar-SA"/>
        </w:rPr>
        <w:t xml:space="preserve"> transporte</w:t>
      </w:r>
      <w:r w:rsidRPr="0075200C">
        <w:rPr>
          <w:rFonts w:ascii="Trebuchet MS" w:hAnsi="Trebuchet MS"/>
          <w:lang w:val="pt-PT" w:bidi="ar-SA"/>
        </w:rPr>
        <w:t xml:space="preserve"> até às instalações do INESC </w:t>
      </w:r>
      <w:r>
        <w:rPr>
          <w:rFonts w:ascii="Trebuchet MS" w:hAnsi="Trebuchet MS"/>
          <w:lang w:val="pt-PT" w:bidi="ar-SA"/>
        </w:rPr>
        <w:t>TEC</w:t>
      </w:r>
      <w:r w:rsidRPr="0075200C">
        <w:rPr>
          <w:rFonts w:ascii="Trebuchet MS" w:hAnsi="Trebuchet MS"/>
          <w:lang w:val="pt-PT" w:bidi="ar-SA"/>
        </w:rPr>
        <w:t>.</w:t>
      </w:r>
    </w:p>
    <w:p w14:paraId="1125603A" w14:textId="77777777" w:rsidR="00887BFA" w:rsidRPr="0075200C" w:rsidRDefault="00887BFA" w:rsidP="00887BFA">
      <w:pPr>
        <w:numPr>
          <w:ilvl w:val="0"/>
          <w:numId w:val="6"/>
        </w:numPr>
        <w:spacing w:before="0" w:after="120"/>
        <w:jc w:val="both"/>
        <w:rPr>
          <w:rFonts w:ascii="Trebuchet MS" w:hAnsi="Trebuchet MS"/>
          <w:lang w:val="pt-PT" w:bidi="ar-SA"/>
        </w:rPr>
      </w:pPr>
      <w:r w:rsidRPr="0075200C">
        <w:rPr>
          <w:rFonts w:ascii="Trebuchet MS" w:hAnsi="Trebuchet MS"/>
          <w:lang w:val="pt-PT" w:bidi="ar-SA"/>
        </w:rPr>
        <w:t xml:space="preserve">O preço referido no número dois inclui todos os custos, encargos e despesas cuja responsabilidade não esteja expressamente atribuída ao INESC </w:t>
      </w:r>
      <w:r>
        <w:rPr>
          <w:rFonts w:ascii="Trebuchet MS" w:hAnsi="Trebuchet MS"/>
          <w:lang w:val="pt-PT" w:bidi="ar-SA"/>
        </w:rPr>
        <w:t>TEC</w:t>
      </w:r>
      <w:r w:rsidRPr="0075200C">
        <w:rPr>
          <w:rFonts w:ascii="Trebuchet MS" w:hAnsi="Trebuchet MS"/>
          <w:lang w:val="pt-PT" w:bidi="ar-SA"/>
        </w:rPr>
        <w:t>, bem como quaisquer encargos decorrentes da utilização de marcas registadas, patentes ou licenças.</w:t>
      </w:r>
    </w:p>
    <w:p w14:paraId="61E93B67" w14:textId="77777777" w:rsidR="00887BFA" w:rsidRPr="0075200C" w:rsidRDefault="00887BFA" w:rsidP="00887BFA">
      <w:pPr>
        <w:spacing w:before="0" w:after="120"/>
        <w:jc w:val="both"/>
        <w:rPr>
          <w:rFonts w:ascii="Trebuchet MS" w:hAnsi="Trebuchet MS"/>
          <w:lang w:val="pt-PT" w:bidi="ar-SA"/>
        </w:rPr>
      </w:pPr>
    </w:p>
    <w:p w14:paraId="4B98D04F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lastRenderedPageBreak/>
        <w:t>Cláusula 10.ª</w:t>
      </w:r>
    </w:p>
    <w:p w14:paraId="407C4423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Condições de Pagamento</w:t>
      </w:r>
    </w:p>
    <w:p w14:paraId="7A4EB998" w14:textId="77777777" w:rsidR="00887BFA" w:rsidRPr="006904D2" w:rsidRDefault="00887BFA" w:rsidP="00887BFA">
      <w:pPr>
        <w:numPr>
          <w:ilvl w:val="0"/>
          <w:numId w:val="8"/>
        </w:numPr>
        <w:spacing w:before="0" w:after="120"/>
        <w:jc w:val="both"/>
        <w:rPr>
          <w:rFonts w:ascii="Trebuchet MS" w:hAnsi="Trebuchet MS"/>
          <w:highlight w:val="yellow"/>
          <w:lang w:val="pt-PT"/>
        </w:rPr>
      </w:pPr>
      <w:r w:rsidRPr="0075200C">
        <w:rPr>
          <w:rFonts w:ascii="Trebuchet MS" w:hAnsi="Trebuchet MS"/>
          <w:lang w:val="pt-PT"/>
        </w:rPr>
        <w:t>A quantia devida</w:t>
      </w:r>
      <w:r w:rsidRPr="0075200C">
        <w:rPr>
          <w:rFonts w:ascii="Trebuchet MS" w:hAnsi="Trebuchet MS" w:cs="Calibri"/>
          <w:lang w:val="pt-PT"/>
        </w:rPr>
        <w:t xml:space="preserve"> nos </w:t>
      </w:r>
      <w:r w:rsidRPr="0075200C">
        <w:rPr>
          <w:rFonts w:ascii="Trebuchet MS" w:hAnsi="Trebuchet MS"/>
          <w:lang w:val="pt-PT"/>
        </w:rPr>
        <w:t xml:space="preserve">termos da cláusula 9ª será paga após a entrega e aceitação dos bens pelo INESC </w:t>
      </w:r>
      <w:r>
        <w:rPr>
          <w:rFonts w:ascii="Trebuchet MS" w:hAnsi="Trebuchet MS"/>
          <w:lang w:val="pt-PT"/>
        </w:rPr>
        <w:t xml:space="preserve">TEC, </w:t>
      </w:r>
      <w:r w:rsidRPr="006904D2">
        <w:rPr>
          <w:rFonts w:ascii="Trebuchet MS" w:hAnsi="Trebuchet MS"/>
          <w:highlight w:val="yellow"/>
          <w:lang w:val="pt-PT"/>
        </w:rPr>
        <w:t xml:space="preserve">no prazo máximo de 30 (trinta) </w:t>
      </w:r>
      <w:commentRangeStart w:id="3"/>
      <w:r w:rsidRPr="006904D2">
        <w:rPr>
          <w:rFonts w:ascii="Trebuchet MS" w:hAnsi="Trebuchet MS"/>
          <w:highlight w:val="yellow"/>
          <w:lang w:val="pt-PT"/>
        </w:rPr>
        <w:t>dias</w:t>
      </w:r>
      <w:commentRangeEnd w:id="3"/>
      <w:r w:rsidR="00156457">
        <w:rPr>
          <w:rStyle w:val="Refdecomentrio"/>
        </w:rPr>
        <w:commentReference w:id="3"/>
      </w:r>
      <w:r w:rsidRPr="006904D2">
        <w:rPr>
          <w:rFonts w:ascii="Trebuchet MS" w:hAnsi="Trebuchet MS"/>
          <w:highlight w:val="yellow"/>
          <w:lang w:val="pt-PT"/>
        </w:rPr>
        <w:t xml:space="preserve"> a contar da receção da correspondente fatura.</w:t>
      </w:r>
    </w:p>
    <w:p w14:paraId="3932F5FA" w14:textId="77777777" w:rsidR="00887BFA" w:rsidRPr="0075200C" w:rsidRDefault="00887BFA" w:rsidP="00887BFA">
      <w:pPr>
        <w:numPr>
          <w:ilvl w:val="0"/>
          <w:numId w:val="8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Os pagamentos referidos no número anterior serão feitos por meio de </w:t>
      </w:r>
      <w:r w:rsidRPr="0075200C">
        <w:rPr>
          <w:rFonts w:ascii="Trebuchet MS" w:hAnsi="Trebuchet MS" w:cs="Arial"/>
          <w:lang w:val="pt-PT"/>
        </w:rPr>
        <w:t>transferência bancária para a conta que para o efeito for indicada pelo fornecedor.</w:t>
      </w:r>
    </w:p>
    <w:p w14:paraId="7313581A" w14:textId="77777777" w:rsidR="00887BFA" w:rsidRPr="0075200C" w:rsidRDefault="00887BFA" w:rsidP="00887BFA">
      <w:pPr>
        <w:tabs>
          <w:tab w:val="left" w:pos="426"/>
        </w:tabs>
        <w:spacing w:before="0" w:after="120"/>
        <w:rPr>
          <w:rFonts w:ascii="Trebuchet MS" w:hAnsi="Trebuchet MS"/>
          <w:b/>
          <w:lang w:val="pt-PT"/>
        </w:rPr>
      </w:pPr>
    </w:p>
    <w:p w14:paraId="4827C6F2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11.ª</w:t>
      </w:r>
    </w:p>
    <w:p w14:paraId="3908022A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Resolução por parte da entidade adjudicante</w:t>
      </w:r>
    </w:p>
    <w:p w14:paraId="0347CD58" w14:textId="77777777" w:rsidR="00887BFA" w:rsidRPr="0075200C" w:rsidRDefault="00887BFA" w:rsidP="00887BFA">
      <w:pPr>
        <w:numPr>
          <w:ilvl w:val="0"/>
          <w:numId w:val="7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Sem prejuízo de outros fundamentos de resolução do contrato previstos na lei, o INESC </w:t>
      </w:r>
      <w:r>
        <w:rPr>
          <w:rFonts w:ascii="Trebuchet MS" w:hAnsi="Trebuchet MS"/>
          <w:lang w:val="pt-PT"/>
        </w:rPr>
        <w:t>TEC</w:t>
      </w:r>
      <w:r w:rsidRPr="0075200C">
        <w:rPr>
          <w:rFonts w:ascii="Trebuchet MS" w:hAnsi="Trebuchet MS"/>
          <w:b/>
          <w:lang w:val="pt-PT"/>
        </w:rPr>
        <w:t xml:space="preserve"> </w:t>
      </w:r>
      <w:r w:rsidRPr="0075200C">
        <w:rPr>
          <w:rFonts w:ascii="Trebuchet MS" w:hAnsi="Trebuchet MS"/>
          <w:lang w:val="pt-PT"/>
        </w:rPr>
        <w:t>pode resolver o contrato, a título sancionatório, no caso de o fornecedor violar qualquer das obrigações que lhe incumbem, designadamente, pelo atraso no fornecimento dos bens previstos no Anexo I superior a 15 (quinze) dias ou declaração escrita do fornecedor de que o atraso respetivo excederá esse prazo.</w:t>
      </w:r>
    </w:p>
    <w:p w14:paraId="749D5267" w14:textId="77777777" w:rsidR="00887BFA" w:rsidRPr="0075200C" w:rsidRDefault="00887BFA" w:rsidP="00887BFA">
      <w:pPr>
        <w:numPr>
          <w:ilvl w:val="0"/>
          <w:numId w:val="7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O direito de resolução referido no número anterior exerce-se mediante declaração enviada ao fornecedor e não determina a repetição das prestações já realizadas, a menos que tal seja determinado pelo INESC </w:t>
      </w:r>
      <w:r>
        <w:rPr>
          <w:rFonts w:ascii="Trebuchet MS" w:hAnsi="Trebuchet MS"/>
          <w:lang w:val="pt-PT"/>
        </w:rPr>
        <w:t>TEC</w:t>
      </w:r>
      <w:r w:rsidRPr="0075200C">
        <w:rPr>
          <w:rFonts w:ascii="Trebuchet MS" w:hAnsi="Trebuchet MS"/>
          <w:b/>
          <w:lang w:val="pt-PT"/>
        </w:rPr>
        <w:t>.</w:t>
      </w:r>
    </w:p>
    <w:p w14:paraId="526F246B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</w:p>
    <w:p w14:paraId="0CD4F61D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12.ª</w:t>
      </w:r>
    </w:p>
    <w:p w14:paraId="60F276D2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Resolução por parte do fornecedor</w:t>
      </w:r>
    </w:p>
    <w:p w14:paraId="50C550A5" w14:textId="77777777" w:rsidR="00887BFA" w:rsidRPr="0075200C" w:rsidRDefault="00887BFA" w:rsidP="00887BFA">
      <w:pPr>
        <w:numPr>
          <w:ilvl w:val="0"/>
          <w:numId w:val="3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Sem prejuízo de outros fundamentos de resolução previstos na lei, o fornecedor pode resolver o contrato quando qualquer montante que lhe seja devido esteja em dívida há mais de 1 mês ou o montante em dívida exceda 50 % do preço contratual, excluindo juros.</w:t>
      </w:r>
    </w:p>
    <w:p w14:paraId="3CB3BB89" w14:textId="77777777" w:rsidR="00887BFA" w:rsidRPr="0075200C" w:rsidRDefault="00887BFA" w:rsidP="00887BFA">
      <w:pPr>
        <w:numPr>
          <w:ilvl w:val="0"/>
          <w:numId w:val="3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No caso previsto no n.º 1, o direito de resolução pode ser exercido mediante declaração enviada ao INESC </w:t>
      </w:r>
      <w:r>
        <w:rPr>
          <w:rFonts w:ascii="Trebuchet MS" w:hAnsi="Trebuchet MS"/>
          <w:lang w:val="pt-PT"/>
        </w:rPr>
        <w:t>TEC</w:t>
      </w:r>
      <w:r w:rsidRPr="0075200C">
        <w:rPr>
          <w:rFonts w:ascii="Trebuchet MS" w:hAnsi="Trebuchet MS"/>
          <w:lang w:val="pt-PT"/>
        </w:rPr>
        <w:t>, que produz efeitos 30 (trinta) dias após a receção dessa declaração, salvo se este último cumprir as obrigações em atraso nesse prazo, acrescidas dos juros de mora a que houver lugar.</w:t>
      </w:r>
    </w:p>
    <w:p w14:paraId="562E3855" w14:textId="77777777" w:rsidR="00887BFA" w:rsidRPr="0075200C" w:rsidRDefault="00887BFA" w:rsidP="00887BFA">
      <w:pPr>
        <w:numPr>
          <w:ilvl w:val="0"/>
          <w:numId w:val="3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O direito de resolução é exercido</w:t>
      </w:r>
      <w:r w:rsidRPr="0075200C">
        <w:rPr>
          <w:rFonts w:ascii="Trebuchet MS" w:hAnsi="Trebuchet MS"/>
          <w:i/>
          <w:color w:val="808080"/>
          <w:lang w:val="pt-PT"/>
        </w:rPr>
        <w:t xml:space="preserve"> </w:t>
      </w:r>
      <w:r w:rsidRPr="0075200C">
        <w:rPr>
          <w:rFonts w:ascii="Trebuchet MS" w:hAnsi="Trebuchet MS"/>
          <w:lang w:val="pt-PT"/>
        </w:rPr>
        <w:t xml:space="preserve">por via arbitral nos termos da Cláusula 13.ª. </w:t>
      </w:r>
    </w:p>
    <w:p w14:paraId="4633EC3F" w14:textId="77777777" w:rsidR="00887BFA" w:rsidRPr="0075200C" w:rsidRDefault="00887BFA" w:rsidP="00887BFA">
      <w:pPr>
        <w:numPr>
          <w:ilvl w:val="0"/>
          <w:numId w:val="3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A resolução do contrato nos termos dos números anteriores não determina a repetição das prestações já realizadas pelo fornecedor cessando, porém, todas as obrigações deste ao abrigo do contrato. </w:t>
      </w:r>
    </w:p>
    <w:p w14:paraId="50FAFEC8" w14:textId="77777777" w:rsidR="00887BFA" w:rsidRPr="0075200C" w:rsidRDefault="00887BFA" w:rsidP="00887BFA">
      <w:pPr>
        <w:tabs>
          <w:tab w:val="left" w:pos="426"/>
        </w:tabs>
        <w:spacing w:before="0" w:after="120"/>
        <w:rPr>
          <w:rFonts w:ascii="Trebuchet MS" w:hAnsi="Trebuchet MS"/>
          <w:b/>
          <w:lang w:val="pt-PT"/>
        </w:rPr>
      </w:pPr>
    </w:p>
    <w:p w14:paraId="480D2CF3" w14:textId="77777777" w:rsidR="00887BFA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</w:p>
    <w:p w14:paraId="3C824E81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13.ª</w:t>
      </w:r>
    </w:p>
    <w:p w14:paraId="6E0A77BD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 xml:space="preserve">Arbitragem </w:t>
      </w:r>
    </w:p>
    <w:p w14:paraId="22A07570" w14:textId="77777777" w:rsidR="00887BFA" w:rsidRPr="0075200C" w:rsidRDefault="00887BFA" w:rsidP="00887BFA">
      <w:p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 xml:space="preserve">Para resolução de todos os litígios emergentes do contrato as partes designarão de comum acordo um terceiro Árbitro, que decidirá sobre os mesmos de forma vinculativa. </w:t>
      </w:r>
    </w:p>
    <w:p w14:paraId="00C61332" w14:textId="77777777" w:rsidR="00887BFA" w:rsidRPr="0075200C" w:rsidRDefault="00887BFA" w:rsidP="00887BFA">
      <w:pPr>
        <w:tabs>
          <w:tab w:val="left" w:pos="426"/>
        </w:tabs>
        <w:spacing w:before="0" w:after="120"/>
        <w:rPr>
          <w:rFonts w:ascii="Trebuchet MS" w:hAnsi="Trebuchet MS"/>
          <w:b/>
          <w:lang w:val="pt-PT"/>
        </w:rPr>
      </w:pPr>
    </w:p>
    <w:p w14:paraId="49DB1FE8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14.ª</w:t>
      </w:r>
    </w:p>
    <w:p w14:paraId="7663F0B4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Subcontratação e cessão da posição contratual</w:t>
      </w:r>
    </w:p>
    <w:p w14:paraId="7316247F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lastRenderedPageBreak/>
        <w:t xml:space="preserve">A subcontratação pelo fornecedor e a cessão da posição contratual por qualquer das partes depende da autorização da outra, nos termos dos artigos 424º e seguintes do Código Civil. </w:t>
      </w:r>
    </w:p>
    <w:p w14:paraId="338306C3" w14:textId="77777777" w:rsidR="00887BFA" w:rsidRPr="0075200C" w:rsidRDefault="00887BFA" w:rsidP="00887BFA">
      <w:pPr>
        <w:tabs>
          <w:tab w:val="left" w:pos="426"/>
        </w:tabs>
        <w:spacing w:before="0" w:after="120"/>
        <w:rPr>
          <w:rFonts w:ascii="Trebuchet MS" w:hAnsi="Trebuchet MS"/>
          <w:b/>
          <w:lang w:val="pt-PT"/>
        </w:rPr>
      </w:pPr>
    </w:p>
    <w:p w14:paraId="44A72C99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15.ª</w:t>
      </w:r>
    </w:p>
    <w:p w14:paraId="5C66C78A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Comunicações e notificações</w:t>
      </w:r>
    </w:p>
    <w:p w14:paraId="6E01F0CA" w14:textId="77777777" w:rsidR="00887BFA" w:rsidRPr="0075200C" w:rsidRDefault="00887BFA" w:rsidP="00887BFA">
      <w:pPr>
        <w:numPr>
          <w:ilvl w:val="0"/>
          <w:numId w:val="2"/>
        </w:numPr>
        <w:spacing w:before="0" w:after="120"/>
        <w:jc w:val="both"/>
        <w:rPr>
          <w:rFonts w:ascii="Trebuchet MS" w:hAnsi="Trebuchet MS"/>
          <w:i/>
          <w:lang w:val="pt-PT"/>
        </w:rPr>
      </w:pPr>
      <w:r w:rsidRPr="0075200C">
        <w:rPr>
          <w:rFonts w:ascii="Trebuchet MS" w:hAnsi="Trebuchet MS"/>
          <w:lang w:val="pt-PT"/>
        </w:rPr>
        <w:t>Sem prejuízo de poderem ser acordadas outras regras quanto às notificações e comunicações entre as partes do contrato, estas devem ser dirigidas, nos termos do Código dos Contratos Públicos, para o domicílio ou sede contratual de cada uma, identificados no contrato ou por correio eletrónico para o endereço:</w:t>
      </w:r>
      <w:r w:rsidRPr="0075200C">
        <w:rPr>
          <w:rFonts w:ascii="Trebuchet MS" w:hAnsi="Trebuchet MS"/>
          <w:i/>
          <w:lang w:val="pt-PT"/>
        </w:rPr>
        <w:t xml:space="preserve"> </w:t>
      </w:r>
      <w:hyperlink r:id="rId9" w:history="1">
        <w:r w:rsidRPr="002D63D4">
          <w:rPr>
            <w:rStyle w:val="Hiperligao"/>
            <w:rFonts w:ascii="Trebuchet MS" w:hAnsi="Trebuchet MS"/>
            <w:i/>
            <w:lang w:val="pt-PT"/>
          </w:rPr>
          <w:t>apoio-juridico@inesc</w:t>
        </w:r>
        <w:r w:rsidRPr="004C68F7">
          <w:rPr>
            <w:rStyle w:val="Hiperligao"/>
            <w:rFonts w:ascii="Trebuchet MS" w:hAnsi="Trebuchet MS"/>
            <w:i/>
            <w:lang w:val="pt-PT"/>
          </w:rPr>
          <w:t>tec.pt</w:t>
        </w:r>
      </w:hyperlink>
      <w:r w:rsidRPr="0075200C">
        <w:rPr>
          <w:rFonts w:ascii="Trebuchet MS" w:hAnsi="Trebuchet MS"/>
          <w:i/>
          <w:lang w:val="pt-PT"/>
        </w:rPr>
        <w:t>.</w:t>
      </w:r>
    </w:p>
    <w:p w14:paraId="5B7F78A8" w14:textId="77777777" w:rsidR="00887BFA" w:rsidRPr="0075200C" w:rsidRDefault="00887BFA" w:rsidP="00887BFA">
      <w:pPr>
        <w:numPr>
          <w:ilvl w:val="0"/>
          <w:numId w:val="2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Qualquer alteração das informações de contacto constantes do contrato deve ser comunicada à outra parte por correio registado.</w:t>
      </w:r>
    </w:p>
    <w:p w14:paraId="4444A7DD" w14:textId="77777777" w:rsidR="00887BFA" w:rsidRPr="0075200C" w:rsidRDefault="00887BFA" w:rsidP="00887BFA">
      <w:pPr>
        <w:tabs>
          <w:tab w:val="left" w:pos="426"/>
        </w:tabs>
        <w:spacing w:before="0" w:after="120"/>
        <w:outlineLvl w:val="0"/>
        <w:rPr>
          <w:rFonts w:ascii="Trebuchet MS" w:hAnsi="Trebuchet MS"/>
          <w:b/>
          <w:lang w:val="pt-PT"/>
        </w:rPr>
      </w:pPr>
    </w:p>
    <w:p w14:paraId="18E8932B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16.ª</w:t>
      </w:r>
    </w:p>
    <w:p w14:paraId="2D628FD8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Contagem dos prazos</w:t>
      </w:r>
    </w:p>
    <w:p w14:paraId="3935264A" w14:textId="77777777" w:rsidR="00887BFA" w:rsidRPr="0075200C" w:rsidRDefault="00887BFA" w:rsidP="00887BFA">
      <w:pPr>
        <w:numPr>
          <w:ilvl w:val="0"/>
          <w:numId w:val="1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Salvo quando sejam fixados expressamente em dias úteis, os prazos previstos no contrato são contínuos, correndo em sábados, domingos e dias feriados.</w:t>
      </w:r>
    </w:p>
    <w:p w14:paraId="470AB009" w14:textId="77777777" w:rsidR="00887BFA" w:rsidRPr="0075200C" w:rsidRDefault="00887BFA" w:rsidP="00887BFA">
      <w:pPr>
        <w:numPr>
          <w:ilvl w:val="0"/>
          <w:numId w:val="1"/>
        </w:numPr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Quando os prazos terminem em sábados, domingos ou dias feriados transfere-se o seu termo para o primeiro dia útil seguinte.</w:t>
      </w:r>
    </w:p>
    <w:p w14:paraId="00102A3B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</w:p>
    <w:p w14:paraId="0730CE90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outlineLvl w:val="0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Cláusula 17.ª</w:t>
      </w:r>
    </w:p>
    <w:p w14:paraId="76711578" w14:textId="77777777" w:rsidR="00887BFA" w:rsidRPr="0075200C" w:rsidRDefault="00887BFA" w:rsidP="00887BFA">
      <w:pPr>
        <w:tabs>
          <w:tab w:val="left" w:pos="426"/>
        </w:tabs>
        <w:spacing w:before="0" w:after="120"/>
        <w:jc w:val="center"/>
        <w:rPr>
          <w:rFonts w:ascii="Trebuchet MS" w:hAnsi="Trebuchet MS"/>
          <w:b/>
          <w:lang w:val="pt-PT"/>
        </w:rPr>
      </w:pPr>
      <w:r w:rsidRPr="0075200C">
        <w:rPr>
          <w:rFonts w:ascii="Trebuchet MS" w:hAnsi="Trebuchet MS"/>
          <w:b/>
          <w:lang w:val="pt-PT"/>
        </w:rPr>
        <w:t>Legislação aplicável</w:t>
      </w:r>
    </w:p>
    <w:p w14:paraId="6B519C10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t>O contrato é regulado pela legislação portuguesa.</w:t>
      </w:r>
    </w:p>
    <w:p w14:paraId="34DD092D" w14:textId="77777777" w:rsidR="00887BFA" w:rsidRPr="0075200C" w:rsidRDefault="00887BFA" w:rsidP="00887BFA">
      <w:pPr>
        <w:tabs>
          <w:tab w:val="left" w:pos="426"/>
        </w:tabs>
        <w:spacing w:before="0" w:after="120"/>
        <w:jc w:val="both"/>
        <w:rPr>
          <w:rFonts w:ascii="Trebuchet MS" w:hAnsi="Trebuchet MS"/>
          <w:lang w:val="pt-PT"/>
        </w:rPr>
      </w:pPr>
    </w:p>
    <w:p w14:paraId="1EB5C476" w14:textId="77777777" w:rsidR="00887BFA" w:rsidRPr="0075200C" w:rsidRDefault="00887BFA" w:rsidP="00887BFA">
      <w:pPr>
        <w:suppressAutoHyphens/>
        <w:spacing w:before="0" w:after="120"/>
        <w:rPr>
          <w:rFonts w:ascii="Trebuchet MS" w:hAnsi="Trebuchet MS"/>
          <w:lang w:val="pt-PT"/>
        </w:rPr>
      </w:pPr>
      <w:bookmarkStart w:id="4" w:name="Addressee"/>
    </w:p>
    <w:p w14:paraId="3E3EB6CA" w14:textId="77777777" w:rsidR="00887BFA" w:rsidRPr="0075200C" w:rsidRDefault="00887BFA" w:rsidP="00887BFA">
      <w:pPr>
        <w:suppressAutoHyphens/>
        <w:spacing w:before="0" w:after="120"/>
        <w:rPr>
          <w:rFonts w:ascii="Trebuchet MS" w:hAnsi="Trebuchet MS"/>
          <w:lang w:val="pt-PT"/>
        </w:rPr>
      </w:pPr>
    </w:p>
    <w:p w14:paraId="06F727A5" w14:textId="77777777" w:rsidR="00887BFA" w:rsidRPr="009C3AFB" w:rsidRDefault="00887BFA" w:rsidP="00887BFA">
      <w:pPr>
        <w:spacing w:before="0" w:after="0" w:line="240" w:lineRule="auto"/>
        <w:jc w:val="center"/>
        <w:rPr>
          <w:rFonts w:ascii="Trebuchet MS" w:hAnsi="Trebuchet MS"/>
          <w:lang w:val="pt-PT"/>
        </w:rPr>
      </w:pPr>
      <w:r w:rsidRPr="0075200C">
        <w:rPr>
          <w:rFonts w:ascii="Trebuchet MS" w:hAnsi="Trebuchet MS"/>
          <w:lang w:val="pt-PT"/>
        </w:rPr>
        <w:br w:type="page"/>
      </w:r>
      <w:bookmarkEnd w:id="4"/>
      <w:r w:rsidRPr="0075200C">
        <w:rPr>
          <w:rFonts w:ascii="Trebuchet MS" w:hAnsi="Trebuchet MS"/>
          <w:b/>
          <w:spacing w:val="-3"/>
          <w:lang w:val="pt-PT"/>
        </w:rPr>
        <w:lastRenderedPageBreak/>
        <w:t>ANEXO I</w:t>
      </w:r>
    </w:p>
    <w:p w14:paraId="52B8AAA0" w14:textId="77777777" w:rsidR="00887BFA" w:rsidRPr="0075200C" w:rsidRDefault="00887BFA" w:rsidP="00887BFA">
      <w:pPr>
        <w:suppressAutoHyphens/>
        <w:spacing w:before="0" w:after="120"/>
        <w:jc w:val="center"/>
        <w:rPr>
          <w:rFonts w:ascii="Trebuchet MS" w:hAnsi="Trebuchet MS"/>
          <w:b/>
          <w:spacing w:val="-3"/>
          <w:lang w:val="pt-PT"/>
        </w:rPr>
      </w:pPr>
    </w:p>
    <w:p w14:paraId="1176931F" w14:textId="77777777" w:rsidR="00887BFA" w:rsidRPr="0075200C" w:rsidRDefault="00887BFA" w:rsidP="00887BFA">
      <w:pPr>
        <w:suppressAutoHyphens/>
        <w:spacing w:before="0" w:after="120"/>
        <w:jc w:val="center"/>
        <w:rPr>
          <w:rFonts w:ascii="Trebuchet MS" w:hAnsi="Trebuchet MS"/>
          <w:b/>
          <w:spacing w:val="-3"/>
          <w:lang w:val="pt-PT"/>
        </w:rPr>
      </w:pPr>
      <w:r w:rsidRPr="0075200C">
        <w:rPr>
          <w:rFonts w:ascii="Trebuchet MS" w:hAnsi="Trebuchet MS"/>
          <w:b/>
          <w:spacing w:val="-3"/>
          <w:lang w:val="pt-PT"/>
        </w:rPr>
        <w:t xml:space="preserve">Referência do Procedimento: </w:t>
      </w:r>
      <w:r w:rsidRPr="006904D2">
        <w:rPr>
          <w:rFonts w:ascii="Trebuchet MS" w:hAnsi="Trebuchet MS"/>
          <w:b/>
          <w:spacing w:val="-3"/>
          <w:highlight w:val="yellow"/>
          <w:lang w:val="pt-PT"/>
        </w:rPr>
        <w:t>ABM 000_/2015</w:t>
      </w:r>
    </w:p>
    <w:p w14:paraId="0CF6BB52" w14:textId="77777777" w:rsidR="00887BFA" w:rsidRPr="0075200C" w:rsidRDefault="00887BFA" w:rsidP="00887BFA">
      <w:pPr>
        <w:suppressAutoHyphens/>
        <w:spacing w:before="0" w:after="120"/>
        <w:jc w:val="center"/>
        <w:rPr>
          <w:rFonts w:ascii="Trebuchet MS" w:hAnsi="Trebuchet MS"/>
          <w:b/>
          <w:spacing w:val="-3"/>
          <w:lang w:val="pt-PT"/>
        </w:rPr>
      </w:pPr>
      <w:r w:rsidRPr="0075200C">
        <w:rPr>
          <w:rFonts w:ascii="Trebuchet MS" w:hAnsi="Trebuchet MS"/>
          <w:b/>
          <w:spacing w:val="-3"/>
          <w:lang w:val="pt-PT"/>
        </w:rPr>
        <w:t>Especificações Técnicas</w:t>
      </w:r>
    </w:p>
    <w:p w14:paraId="707CEEF6" w14:textId="77777777" w:rsidR="00887BFA" w:rsidRPr="0075200C" w:rsidRDefault="00533DB3" w:rsidP="00887BFA">
      <w:pPr>
        <w:suppressAutoHyphens/>
        <w:spacing w:before="0" w:after="120"/>
        <w:jc w:val="center"/>
        <w:rPr>
          <w:rFonts w:ascii="Trebuchet MS" w:hAnsi="Trebuchet MS"/>
          <w:b/>
          <w:spacing w:val="-3"/>
          <w:lang w:val="pt-PT"/>
        </w:rPr>
      </w:pPr>
      <w:r>
        <w:rPr>
          <w:rFonts w:ascii="Trebuchet MS" w:hAnsi="Trebuchet MS"/>
          <w:b/>
          <w:spacing w:val="-3"/>
          <w:lang w:val="pt-PT"/>
        </w:rPr>
        <w:pict w14:anchorId="22A08EDB">
          <v:rect id="_x0000_i1026" style="width:481.65pt;height:1.5pt" o:hralign="center" o:bordertopcolor="this" o:borderleftcolor="this" o:borderbottomcolor="this" o:borderrightcolor="this" o:hrstd="t" o:hrnoshade="t" o:hr="t" fillcolor="#31849b" stroked="f"/>
        </w:pict>
      </w:r>
    </w:p>
    <w:p w14:paraId="03E839B9" w14:textId="77777777" w:rsidR="00887BFA" w:rsidRPr="0075200C" w:rsidRDefault="00887BFA" w:rsidP="00887BFA">
      <w:pPr>
        <w:suppressAutoHyphens/>
        <w:spacing w:before="0" w:after="120"/>
        <w:jc w:val="center"/>
        <w:rPr>
          <w:rFonts w:ascii="Trebuchet MS" w:hAnsi="Trebuchet MS"/>
          <w:b/>
          <w:spacing w:val="-3"/>
          <w:lang w:val="pt-PT"/>
        </w:rPr>
      </w:pPr>
    </w:p>
    <w:p w14:paraId="7EFB267A" w14:textId="77777777" w:rsidR="00887BFA" w:rsidRPr="0075200C" w:rsidRDefault="00887BFA" w:rsidP="00887BFA">
      <w:pPr>
        <w:keepNext/>
        <w:spacing w:before="0" w:after="240"/>
        <w:jc w:val="both"/>
        <w:rPr>
          <w:rFonts w:ascii="Trebuchet MS" w:eastAsia="Times New Roman" w:hAnsi="Trebuchet MS" w:cs="WP MathB"/>
          <w:b/>
          <w:color w:val="000000"/>
          <w:u w:val="single"/>
          <w:lang w:val="pt-PT" w:bidi="ar-SA"/>
        </w:rPr>
      </w:pPr>
      <w:r w:rsidRPr="0075200C">
        <w:rPr>
          <w:rFonts w:ascii="Trebuchet MS" w:eastAsia="Times New Roman" w:hAnsi="Trebuchet MS" w:cs="WP MathB"/>
          <w:b/>
          <w:color w:val="000000"/>
          <w:lang w:val="pt-PT" w:bidi="ar-SA"/>
        </w:rPr>
        <w:t xml:space="preserve">I. </w:t>
      </w:r>
      <w:r>
        <w:rPr>
          <w:rFonts w:ascii="Trebuchet MS" w:eastAsia="Times New Roman" w:hAnsi="Trebuchet MS" w:cs="WP MathB"/>
          <w:b/>
          <w:color w:val="000000"/>
          <w:u w:val="single"/>
          <w:lang w:val="pt-PT" w:bidi="ar-SA"/>
        </w:rPr>
        <w:t>Objeto</w:t>
      </w:r>
    </w:p>
    <w:p w14:paraId="03FFFFF9" w14:textId="77777777" w:rsidR="00887BFA" w:rsidRPr="006818EE" w:rsidRDefault="00887BFA" w:rsidP="00887BFA">
      <w:pPr>
        <w:keepNext/>
        <w:spacing w:before="0" w:after="240"/>
        <w:jc w:val="both"/>
        <w:rPr>
          <w:rFonts w:ascii="Trebuchet MS" w:eastAsia="Times New Roman" w:hAnsi="Trebuchet MS" w:cs="WP MathB"/>
          <w:color w:val="000000"/>
          <w:lang w:val="pt-PT" w:bidi="ar-SA"/>
        </w:rPr>
      </w:pPr>
      <w:r w:rsidRPr="0075200C">
        <w:rPr>
          <w:rFonts w:ascii="Trebuchet MS" w:eastAsia="Times New Roman" w:hAnsi="Trebuchet MS" w:cs="WP MathB"/>
          <w:color w:val="000000"/>
          <w:lang w:val="pt-PT" w:bidi="ar-SA"/>
        </w:rPr>
        <w:t xml:space="preserve">O contrato a celebrar tem por objeto a aquisição </w:t>
      </w:r>
      <w:r w:rsidRPr="006904D2">
        <w:rPr>
          <w:rFonts w:ascii="Trebuchet MS" w:eastAsia="Times New Roman" w:hAnsi="Trebuchet MS" w:cs="WP MathB"/>
          <w:color w:val="000000"/>
          <w:highlight w:val="yellow"/>
          <w:lang w:val="pt-PT" w:bidi="ar-SA"/>
        </w:rPr>
        <w:t>_______________________________.</w:t>
      </w:r>
      <w:r w:rsidRPr="0075200C">
        <w:rPr>
          <w:rFonts w:ascii="Trebuchet MS" w:eastAsia="Times New Roman" w:hAnsi="Trebuchet MS" w:cs="WP MathB"/>
          <w:color w:val="000000"/>
          <w:lang w:val="pt-PT" w:bidi="ar-SA"/>
        </w:rPr>
        <w:t xml:space="preserve"> </w:t>
      </w:r>
    </w:p>
    <w:p w14:paraId="0F0BAB6F" w14:textId="77777777" w:rsidR="00887BFA" w:rsidRPr="0075200C" w:rsidRDefault="00887BFA" w:rsidP="00887BFA">
      <w:pPr>
        <w:keepNext/>
        <w:spacing w:before="0" w:after="240" w:line="360" w:lineRule="auto"/>
        <w:rPr>
          <w:rFonts w:ascii="Trebuchet MS" w:eastAsia="Times New Roman" w:hAnsi="Trebuchet MS" w:cs="WP MathB"/>
          <w:b/>
          <w:color w:val="000000"/>
          <w:u w:val="single"/>
          <w:lang w:val="pt-PT" w:bidi="ar-SA"/>
        </w:rPr>
      </w:pPr>
    </w:p>
    <w:p w14:paraId="4DBC68BC" w14:textId="77777777" w:rsidR="00887BFA" w:rsidRDefault="00887BFA" w:rsidP="00887BFA">
      <w:pPr>
        <w:keepNext/>
        <w:spacing w:before="0" w:after="240" w:line="360" w:lineRule="auto"/>
        <w:jc w:val="both"/>
        <w:rPr>
          <w:rFonts w:ascii="Trebuchet MS" w:eastAsia="Times New Roman" w:hAnsi="Trebuchet MS" w:cs="WP MathB"/>
          <w:b/>
          <w:color w:val="000000"/>
          <w:u w:val="single"/>
          <w:lang w:val="pt-PT" w:bidi="ar-SA"/>
        </w:rPr>
      </w:pPr>
      <w:r w:rsidRPr="0075200C">
        <w:rPr>
          <w:rFonts w:ascii="Trebuchet MS" w:eastAsia="Times New Roman" w:hAnsi="Trebuchet MS" w:cs="WP MathB"/>
          <w:b/>
          <w:color w:val="000000"/>
          <w:lang w:val="pt-PT" w:bidi="ar-SA"/>
        </w:rPr>
        <w:t xml:space="preserve">II. </w:t>
      </w:r>
      <w:r w:rsidRPr="0075200C">
        <w:rPr>
          <w:rFonts w:ascii="Trebuchet MS" w:eastAsia="Times New Roman" w:hAnsi="Trebuchet MS" w:cs="WP MathB"/>
          <w:b/>
          <w:color w:val="000000"/>
          <w:u w:val="single"/>
          <w:lang w:val="pt-PT" w:bidi="ar-SA"/>
        </w:rPr>
        <w:t>Caraterísticas técnicas.</w:t>
      </w:r>
    </w:p>
    <w:p w14:paraId="500AE2F7" w14:textId="77777777" w:rsidR="00887BFA" w:rsidRDefault="00887BFA" w:rsidP="00887BFA">
      <w:pPr>
        <w:keepNext/>
        <w:spacing w:before="0" w:after="240" w:line="360" w:lineRule="auto"/>
        <w:jc w:val="both"/>
        <w:rPr>
          <w:rFonts w:ascii="Trebuchet MS" w:eastAsia="Times New Roman" w:hAnsi="Trebuchet MS" w:cs="WP MathB"/>
          <w:color w:val="000000"/>
          <w:lang w:val="pt-PT" w:bidi="ar-SA"/>
        </w:rPr>
      </w:pPr>
      <w:r w:rsidRPr="0075200C">
        <w:rPr>
          <w:rFonts w:ascii="Trebuchet MS" w:eastAsia="Times New Roman" w:hAnsi="Trebuchet MS" w:cs="WP MathB"/>
          <w:color w:val="000000"/>
          <w:lang w:val="pt-PT" w:bidi="ar-SA"/>
        </w:rPr>
        <w:t xml:space="preserve"> O</w:t>
      </w:r>
      <w:r>
        <w:rPr>
          <w:rFonts w:ascii="Trebuchet MS" w:eastAsia="Times New Roman" w:hAnsi="Trebuchet MS" w:cs="WP MathB"/>
          <w:color w:val="000000"/>
          <w:lang w:val="pt-PT" w:bidi="ar-SA"/>
        </w:rPr>
        <w:t>s</w:t>
      </w:r>
      <w:r w:rsidRPr="0075200C">
        <w:rPr>
          <w:rFonts w:ascii="Trebuchet MS" w:eastAsia="Times New Roman" w:hAnsi="Trebuchet MS" w:cs="WP MathB"/>
          <w:color w:val="000000"/>
          <w:lang w:val="pt-PT" w:bidi="ar-SA"/>
        </w:rPr>
        <w:t xml:space="preserve"> be</w:t>
      </w:r>
      <w:r>
        <w:rPr>
          <w:rFonts w:ascii="Trebuchet MS" w:eastAsia="Times New Roman" w:hAnsi="Trebuchet MS" w:cs="WP MathB"/>
          <w:color w:val="000000"/>
          <w:lang w:val="pt-PT" w:bidi="ar-SA"/>
        </w:rPr>
        <w:t>ns</w:t>
      </w:r>
      <w:r w:rsidRPr="0075200C">
        <w:rPr>
          <w:rFonts w:ascii="Trebuchet MS" w:eastAsia="Times New Roman" w:hAnsi="Trebuchet MS" w:cs="WP MathB"/>
          <w:color w:val="000000"/>
          <w:lang w:val="pt-PT" w:bidi="ar-SA"/>
        </w:rPr>
        <w:t xml:space="preserve"> objeto do contrato dever</w:t>
      </w:r>
      <w:r>
        <w:rPr>
          <w:rFonts w:ascii="Trebuchet MS" w:eastAsia="Times New Roman" w:hAnsi="Trebuchet MS" w:cs="WP MathB"/>
          <w:color w:val="000000"/>
          <w:lang w:val="pt-PT" w:bidi="ar-SA"/>
        </w:rPr>
        <w:t>ão</w:t>
      </w:r>
      <w:r w:rsidRPr="0075200C">
        <w:rPr>
          <w:rFonts w:ascii="Trebuchet MS" w:eastAsia="Times New Roman" w:hAnsi="Trebuchet MS" w:cs="WP MathB"/>
          <w:color w:val="000000"/>
          <w:lang w:val="pt-PT" w:bidi="ar-SA"/>
        </w:rPr>
        <w:t xml:space="preserve"> respeitar as seguintes características técnicas:</w:t>
      </w:r>
    </w:p>
    <w:p w14:paraId="4CB2026F" w14:textId="77777777" w:rsidR="00887BFA" w:rsidRDefault="00887BFA" w:rsidP="00887BFA">
      <w:pPr>
        <w:keepNext/>
        <w:spacing w:before="0" w:after="240" w:line="360" w:lineRule="auto"/>
        <w:jc w:val="both"/>
        <w:rPr>
          <w:rFonts w:ascii="Trebuchet MS" w:eastAsia="Times New Roman" w:hAnsi="Trebuchet MS" w:cs="WP MathB"/>
          <w:color w:val="000000"/>
          <w:lang w:val="pt-PT" w:bidi="ar-SA"/>
        </w:rPr>
      </w:pPr>
      <w:r w:rsidRPr="006904D2">
        <w:rPr>
          <w:rFonts w:ascii="Trebuchet MS" w:eastAsia="Times New Roman" w:hAnsi="Trebuchet MS" w:cs="WP MathB"/>
          <w:color w:val="000000"/>
          <w:highlight w:val="yellow"/>
          <w:lang w:val="pt-PT" w:bidi="ar-SA"/>
        </w:rPr>
        <w:t>(COMPLETAR)</w:t>
      </w:r>
    </w:p>
    <w:p w14:paraId="64143AF5" w14:textId="77777777" w:rsidR="000237DB" w:rsidRDefault="00887BFA" w:rsidP="00887BFA">
      <w:r w:rsidRPr="0075200C">
        <w:rPr>
          <w:rFonts w:ascii="Trebuchet MS" w:eastAsia="Times New Roman" w:hAnsi="Trebuchet MS" w:cs="WP MathB"/>
          <w:color w:val="000000"/>
          <w:lang w:val="pt-PT" w:bidi="ar-SA"/>
        </w:rPr>
        <w:t xml:space="preserve"> </w:t>
      </w:r>
      <w:r w:rsidRPr="0075200C">
        <w:rPr>
          <w:rFonts w:ascii="Trebuchet MS" w:eastAsia="Times New Roman" w:hAnsi="Trebuchet MS" w:cs="WP MathB"/>
          <w:color w:val="000000"/>
          <w:lang w:val="pt-PT" w:bidi="ar-SA"/>
        </w:rPr>
        <w:br/>
      </w:r>
      <w:r w:rsidRPr="006904D2">
        <w:rPr>
          <w:rFonts w:ascii="Trebuchet MS" w:eastAsia="Times New Roman" w:hAnsi="Trebuchet MS" w:cs="WP MathB"/>
          <w:b/>
          <w:color w:val="000000"/>
          <w:highlight w:val="yellow"/>
          <w:u w:val="single"/>
          <w:lang w:val="pt-PT" w:bidi="ar-SA"/>
        </w:rPr>
        <w:t>III. Serviços</w:t>
      </w:r>
    </w:p>
    <w:sectPr w:rsidR="000237D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Joana Fernandes Gonçalves" w:date="2015-09-18T16:39:00Z" w:initials="JFG">
    <w:p w14:paraId="5F2D4D61" w14:textId="77777777" w:rsidR="00156457" w:rsidRPr="00156457" w:rsidRDefault="00156457" w:rsidP="00156457">
      <w:pPr>
        <w:pStyle w:val="Textodecomentrio"/>
        <w:rPr>
          <w:lang w:val="pt-PT"/>
        </w:rPr>
      </w:pPr>
      <w:r>
        <w:rPr>
          <w:rStyle w:val="Refdecomentrio"/>
        </w:rPr>
        <w:annotationRef/>
      </w:r>
      <w:r w:rsidRPr="00156457">
        <w:rPr>
          <w:lang w:val="pt-PT"/>
        </w:rPr>
        <w:t xml:space="preserve">O preço base do procedimento é o preço máximo que o INESC TEC está disposto a pagar pelo bem a comprar. É necessário ter em atenção que as propostas que vierem a ser apresentadas pelo fornecedor jamais poderão ultrapassar este preço. </w:t>
      </w:r>
    </w:p>
    <w:p w14:paraId="67FE5F86" w14:textId="77777777" w:rsidR="00156457" w:rsidRPr="00156457" w:rsidRDefault="00156457" w:rsidP="00156457">
      <w:pPr>
        <w:pStyle w:val="Textodecomentrio"/>
        <w:rPr>
          <w:lang w:val="pt-PT"/>
        </w:rPr>
      </w:pPr>
      <w:r w:rsidRPr="00156457">
        <w:rPr>
          <w:lang w:val="pt-PT"/>
        </w:rPr>
        <w:t xml:space="preserve">O preço base do procedimento é o mesmo preço que for aprovado em reunião do CCI ou da CE, conforme os níveis de competência.  </w:t>
      </w:r>
    </w:p>
    <w:p w14:paraId="24A376FE" w14:textId="77777777" w:rsidR="00156457" w:rsidRPr="00156457" w:rsidRDefault="00156457">
      <w:pPr>
        <w:pStyle w:val="Textodecomentrio"/>
        <w:rPr>
          <w:lang w:val="pt-PT"/>
        </w:rPr>
      </w:pPr>
    </w:p>
  </w:comment>
  <w:comment w:id="2" w:author="Joana Fernandes Gonçalves" w:date="2015-09-18T16:40:00Z" w:initials="JFG">
    <w:p w14:paraId="2E18A38D" w14:textId="77777777" w:rsidR="00156457" w:rsidRPr="00156457" w:rsidRDefault="00156457" w:rsidP="00156457">
      <w:pPr>
        <w:pStyle w:val="Textodecomentrio"/>
        <w:rPr>
          <w:lang w:val="pt-PT"/>
        </w:rPr>
      </w:pPr>
      <w:r>
        <w:rPr>
          <w:rStyle w:val="Refdecomentrio"/>
        </w:rPr>
        <w:annotationRef/>
      </w:r>
      <w:r>
        <w:rPr>
          <w:rStyle w:val="Refdecomentrio"/>
        </w:rPr>
        <w:annotationRef/>
      </w:r>
      <w:r w:rsidRPr="00156457">
        <w:rPr>
          <w:lang w:val="pt-PT"/>
        </w:rPr>
        <w:t xml:space="preserve">É necessário esclarecer com os fornecedores, antes do envio do convite e do caderno de encargos, se estes se responsabilizam pelo transporte do bem, ou seja, </w:t>
      </w:r>
      <w:r w:rsidRPr="00156457">
        <w:rPr>
          <w:u w:val="single"/>
          <w:lang w:val="pt-PT"/>
        </w:rPr>
        <w:t>se o preço inerente ao transporte está incluído no preço total a pagar pelo bem</w:t>
      </w:r>
      <w:r w:rsidRPr="00156457">
        <w:rPr>
          <w:lang w:val="pt-PT"/>
        </w:rPr>
        <w:t>. O transporte e entrega do bem são alguns dos serviços que poderão constar do ponto III do anexo técnico ao caderno de encargos.</w:t>
      </w:r>
    </w:p>
    <w:p w14:paraId="02471152" w14:textId="77777777" w:rsidR="00156457" w:rsidRPr="00156457" w:rsidRDefault="00156457">
      <w:pPr>
        <w:pStyle w:val="Textodecomentrio"/>
        <w:rPr>
          <w:lang w:val="pt-PT"/>
        </w:rPr>
      </w:pPr>
    </w:p>
  </w:comment>
  <w:comment w:id="3" w:author="Joana Fernandes Gonçalves" w:date="2015-09-18T16:40:00Z" w:initials="JFG">
    <w:p w14:paraId="7B7039FF" w14:textId="77777777" w:rsidR="00156457" w:rsidRPr="00156457" w:rsidRDefault="00156457" w:rsidP="00156457">
      <w:pPr>
        <w:pStyle w:val="Textodecomentrio"/>
        <w:rPr>
          <w:lang w:val="pt-PT"/>
        </w:rPr>
      </w:pPr>
      <w:r>
        <w:rPr>
          <w:rStyle w:val="Refdecomentrio"/>
        </w:rPr>
        <w:annotationRef/>
      </w:r>
      <w:r w:rsidRPr="00156457">
        <w:rPr>
          <w:lang w:val="pt-PT"/>
        </w:rPr>
        <w:t xml:space="preserve">O pagamento dos bens ao fornecedor terá que ser </w:t>
      </w:r>
      <w:r w:rsidRPr="00156457">
        <w:rPr>
          <w:u w:val="single"/>
          <w:lang w:val="pt-PT"/>
        </w:rPr>
        <w:t>sempre posterior à entrega do bem</w:t>
      </w:r>
      <w:r w:rsidRPr="00156457">
        <w:rPr>
          <w:lang w:val="pt-PT"/>
        </w:rPr>
        <w:t xml:space="preserve">, não sendo permitidos pré-pagamentos. </w:t>
      </w:r>
    </w:p>
    <w:p w14:paraId="1B6DE939" w14:textId="77777777" w:rsidR="00156457" w:rsidRPr="00156457" w:rsidRDefault="00156457" w:rsidP="00156457">
      <w:pPr>
        <w:pStyle w:val="Textodecomentrio"/>
        <w:rPr>
          <w:lang w:val="pt-PT"/>
        </w:rPr>
      </w:pPr>
      <w:r w:rsidRPr="00156457">
        <w:rPr>
          <w:lang w:val="pt-PT"/>
        </w:rPr>
        <w:t xml:space="preserve">Os adiantamentos de preço, nos termos do artigo 292º do Código dos Contratos Públicos, a ter lugar, apenas poderão representar 30% do preço contratual total e só serão permitidos mediante a prestação de caução pelo fornecedor no mesmo valor do adiantamento (através de garantia bancária, depósito ou seguro-caução). </w:t>
      </w:r>
    </w:p>
    <w:p w14:paraId="6298E461" w14:textId="77777777" w:rsidR="00156457" w:rsidRPr="00156457" w:rsidRDefault="00156457" w:rsidP="00156457">
      <w:pPr>
        <w:pStyle w:val="Textodecomentrio"/>
        <w:rPr>
          <w:lang w:val="pt-PT"/>
        </w:rPr>
      </w:pPr>
      <w:r w:rsidRPr="00156457">
        <w:rPr>
          <w:b/>
          <w:lang w:val="pt-PT"/>
        </w:rPr>
        <w:t>As condições de pagamento deverão ser esclarecidas com o fornecedor antes do início do procedimento</w:t>
      </w:r>
      <w:r w:rsidRPr="00156457">
        <w:rPr>
          <w:lang w:val="pt-PT"/>
        </w:rPr>
        <w:t>, sendo-lhe comunicada expressamente a impossibilidade dos pré-pagamentos.</w:t>
      </w:r>
    </w:p>
    <w:p w14:paraId="1E7E51AE" w14:textId="77777777" w:rsidR="00156457" w:rsidRPr="00156457" w:rsidRDefault="00156457">
      <w:pPr>
        <w:pStyle w:val="Textodecomentrio"/>
        <w:rPr>
          <w:lang w:val="pt-PT"/>
        </w:rPr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4A376FE" w15:done="0"/>
  <w15:commentEx w15:paraId="02471152" w15:done="0"/>
  <w15:commentEx w15:paraId="1E7E51AE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F9DEAD" w14:textId="77777777" w:rsidR="00533DB3" w:rsidRDefault="00533DB3" w:rsidP="00156457">
      <w:pPr>
        <w:spacing w:before="0" w:after="0" w:line="240" w:lineRule="auto"/>
      </w:pPr>
      <w:r>
        <w:separator/>
      </w:r>
    </w:p>
  </w:endnote>
  <w:endnote w:type="continuationSeparator" w:id="0">
    <w:p w14:paraId="213C570A" w14:textId="77777777" w:rsidR="00533DB3" w:rsidRDefault="00533DB3" w:rsidP="0015645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P MathB">
    <w:altName w:val="Symbo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DD3147" w14:textId="77777777" w:rsidR="00533DB3" w:rsidRDefault="00533DB3" w:rsidP="00156457">
      <w:pPr>
        <w:spacing w:before="0" w:after="0" w:line="240" w:lineRule="auto"/>
      </w:pPr>
      <w:r>
        <w:separator/>
      </w:r>
    </w:p>
  </w:footnote>
  <w:footnote w:type="continuationSeparator" w:id="0">
    <w:p w14:paraId="274DFA78" w14:textId="77777777" w:rsidR="00533DB3" w:rsidRDefault="00533DB3" w:rsidP="00156457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42FCD"/>
    <w:multiLevelType w:val="hybridMultilevel"/>
    <w:tmpl w:val="8B2EEBBE"/>
    <w:lvl w:ilvl="0" w:tplc="19D8CBFE">
      <w:start w:val="1"/>
      <w:numFmt w:val="decimal"/>
      <w:lvlText w:val="%1 - "/>
      <w:lvlJc w:val="left"/>
      <w:pPr>
        <w:ind w:left="360" w:hanging="360"/>
      </w:pPr>
      <w:rPr>
        <w:rFonts w:hint="default"/>
        <w:i w:val="0"/>
      </w:rPr>
    </w:lvl>
    <w:lvl w:ilvl="1" w:tplc="8898BF80" w:tentative="1">
      <w:start w:val="1"/>
      <w:numFmt w:val="lowerLetter"/>
      <w:lvlText w:val="%2."/>
      <w:lvlJc w:val="left"/>
      <w:pPr>
        <w:ind w:left="1080" w:hanging="360"/>
      </w:pPr>
    </w:lvl>
    <w:lvl w:ilvl="2" w:tplc="458EBDE6" w:tentative="1">
      <w:start w:val="1"/>
      <w:numFmt w:val="lowerRoman"/>
      <w:lvlText w:val="%3."/>
      <w:lvlJc w:val="right"/>
      <w:pPr>
        <w:ind w:left="1800" w:hanging="180"/>
      </w:pPr>
    </w:lvl>
    <w:lvl w:ilvl="3" w:tplc="D77AFB3E" w:tentative="1">
      <w:start w:val="1"/>
      <w:numFmt w:val="decimal"/>
      <w:lvlText w:val="%4."/>
      <w:lvlJc w:val="left"/>
      <w:pPr>
        <w:ind w:left="2520" w:hanging="360"/>
      </w:pPr>
    </w:lvl>
    <w:lvl w:ilvl="4" w:tplc="3D9611C6" w:tentative="1">
      <w:start w:val="1"/>
      <w:numFmt w:val="lowerLetter"/>
      <w:lvlText w:val="%5."/>
      <w:lvlJc w:val="left"/>
      <w:pPr>
        <w:ind w:left="3240" w:hanging="360"/>
      </w:pPr>
    </w:lvl>
    <w:lvl w:ilvl="5" w:tplc="2528F106" w:tentative="1">
      <w:start w:val="1"/>
      <w:numFmt w:val="lowerRoman"/>
      <w:lvlText w:val="%6."/>
      <w:lvlJc w:val="right"/>
      <w:pPr>
        <w:ind w:left="3960" w:hanging="180"/>
      </w:pPr>
    </w:lvl>
    <w:lvl w:ilvl="6" w:tplc="F7C4AF9E" w:tentative="1">
      <w:start w:val="1"/>
      <w:numFmt w:val="decimal"/>
      <w:lvlText w:val="%7."/>
      <w:lvlJc w:val="left"/>
      <w:pPr>
        <w:ind w:left="4680" w:hanging="360"/>
      </w:pPr>
    </w:lvl>
    <w:lvl w:ilvl="7" w:tplc="C2CE157A" w:tentative="1">
      <w:start w:val="1"/>
      <w:numFmt w:val="lowerLetter"/>
      <w:lvlText w:val="%8."/>
      <w:lvlJc w:val="left"/>
      <w:pPr>
        <w:ind w:left="5400" w:hanging="360"/>
      </w:pPr>
    </w:lvl>
    <w:lvl w:ilvl="8" w:tplc="35AC807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71A67"/>
    <w:multiLevelType w:val="hybridMultilevel"/>
    <w:tmpl w:val="08FE4016"/>
    <w:lvl w:ilvl="0" w:tplc="122EE7B4">
      <w:start w:val="1"/>
      <w:numFmt w:val="lowerLetter"/>
      <w:lvlText w:val="%1)"/>
      <w:lvlJc w:val="left"/>
      <w:pPr>
        <w:ind w:left="720" w:hanging="360"/>
      </w:pPr>
    </w:lvl>
    <w:lvl w:ilvl="1" w:tplc="A19EBE90" w:tentative="1">
      <w:start w:val="1"/>
      <w:numFmt w:val="lowerLetter"/>
      <w:lvlText w:val="%2."/>
      <w:lvlJc w:val="left"/>
      <w:pPr>
        <w:ind w:left="1440" w:hanging="360"/>
      </w:pPr>
    </w:lvl>
    <w:lvl w:ilvl="2" w:tplc="3E48A588" w:tentative="1">
      <w:start w:val="1"/>
      <w:numFmt w:val="lowerRoman"/>
      <w:lvlText w:val="%3."/>
      <w:lvlJc w:val="right"/>
      <w:pPr>
        <w:ind w:left="2160" w:hanging="180"/>
      </w:pPr>
    </w:lvl>
    <w:lvl w:ilvl="3" w:tplc="DDD26D1A" w:tentative="1">
      <w:start w:val="1"/>
      <w:numFmt w:val="decimal"/>
      <w:lvlText w:val="%4."/>
      <w:lvlJc w:val="left"/>
      <w:pPr>
        <w:ind w:left="2880" w:hanging="360"/>
      </w:pPr>
    </w:lvl>
    <w:lvl w:ilvl="4" w:tplc="EBDAB704" w:tentative="1">
      <w:start w:val="1"/>
      <w:numFmt w:val="lowerLetter"/>
      <w:lvlText w:val="%5."/>
      <w:lvlJc w:val="left"/>
      <w:pPr>
        <w:ind w:left="3600" w:hanging="360"/>
      </w:pPr>
    </w:lvl>
    <w:lvl w:ilvl="5" w:tplc="8D66F266" w:tentative="1">
      <w:start w:val="1"/>
      <w:numFmt w:val="lowerRoman"/>
      <w:lvlText w:val="%6."/>
      <w:lvlJc w:val="right"/>
      <w:pPr>
        <w:ind w:left="4320" w:hanging="180"/>
      </w:pPr>
    </w:lvl>
    <w:lvl w:ilvl="6" w:tplc="EA8C8222" w:tentative="1">
      <w:start w:val="1"/>
      <w:numFmt w:val="decimal"/>
      <w:lvlText w:val="%7."/>
      <w:lvlJc w:val="left"/>
      <w:pPr>
        <w:ind w:left="5040" w:hanging="360"/>
      </w:pPr>
    </w:lvl>
    <w:lvl w:ilvl="7" w:tplc="BA225436" w:tentative="1">
      <w:start w:val="1"/>
      <w:numFmt w:val="lowerLetter"/>
      <w:lvlText w:val="%8."/>
      <w:lvlJc w:val="left"/>
      <w:pPr>
        <w:ind w:left="5760" w:hanging="360"/>
      </w:pPr>
    </w:lvl>
    <w:lvl w:ilvl="8" w:tplc="2A4AD5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F17D64"/>
    <w:multiLevelType w:val="hybridMultilevel"/>
    <w:tmpl w:val="6E4E4302"/>
    <w:lvl w:ilvl="0" w:tplc="E4320F12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69149E68" w:tentative="1">
      <w:start w:val="1"/>
      <w:numFmt w:val="lowerLetter"/>
      <w:lvlText w:val="%2."/>
      <w:lvlJc w:val="left"/>
      <w:pPr>
        <w:ind w:left="1080" w:hanging="360"/>
      </w:pPr>
    </w:lvl>
    <w:lvl w:ilvl="2" w:tplc="74A6640A" w:tentative="1">
      <w:start w:val="1"/>
      <w:numFmt w:val="lowerRoman"/>
      <w:lvlText w:val="%3."/>
      <w:lvlJc w:val="right"/>
      <w:pPr>
        <w:ind w:left="1800" w:hanging="180"/>
      </w:pPr>
    </w:lvl>
    <w:lvl w:ilvl="3" w:tplc="357C3FE6" w:tentative="1">
      <w:start w:val="1"/>
      <w:numFmt w:val="decimal"/>
      <w:lvlText w:val="%4."/>
      <w:lvlJc w:val="left"/>
      <w:pPr>
        <w:ind w:left="2520" w:hanging="360"/>
      </w:pPr>
    </w:lvl>
    <w:lvl w:ilvl="4" w:tplc="D3C4C16A" w:tentative="1">
      <w:start w:val="1"/>
      <w:numFmt w:val="lowerLetter"/>
      <w:lvlText w:val="%5."/>
      <w:lvlJc w:val="left"/>
      <w:pPr>
        <w:ind w:left="3240" w:hanging="360"/>
      </w:pPr>
    </w:lvl>
    <w:lvl w:ilvl="5" w:tplc="87983910" w:tentative="1">
      <w:start w:val="1"/>
      <w:numFmt w:val="lowerRoman"/>
      <w:lvlText w:val="%6."/>
      <w:lvlJc w:val="right"/>
      <w:pPr>
        <w:ind w:left="3960" w:hanging="180"/>
      </w:pPr>
    </w:lvl>
    <w:lvl w:ilvl="6" w:tplc="714002AE" w:tentative="1">
      <w:start w:val="1"/>
      <w:numFmt w:val="decimal"/>
      <w:lvlText w:val="%7."/>
      <w:lvlJc w:val="left"/>
      <w:pPr>
        <w:ind w:left="4680" w:hanging="360"/>
      </w:pPr>
    </w:lvl>
    <w:lvl w:ilvl="7" w:tplc="07FE0E58" w:tentative="1">
      <w:start w:val="1"/>
      <w:numFmt w:val="lowerLetter"/>
      <w:lvlText w:val="%8."/>
      <w:lvlJc w:val="left"/>
      <w:pPr>
        <w:ind w:left="5400" w:hanging="360"/>
      </w:pPr>
    </w:lvl>
    <w:lvl w:ilvl="8" w:tplc="987667E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20E485C"/>
    <w:multiLevelType w:val="hybridMultilevel"/>
    <w:tmpl w:val="6DC23504"/>
    <w:lvl w:ilvl="0" w:tplc="DFF2D0B8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D23246DE" w:tentative="1">
      <w:start w:val="1"/>
      <w:numFmt w:val="lowerLetter"/>
      <w:lvlText w:val="%2."/>
      <w:lvlJc w:val="left"/>
      <w:pPr>
        <w:ind w:left="1080" w:hanging="360"/>
      </w:pPr>
    </w:lvl>
    <w:lvl w:ilvl="2" w:tplc="37F28AA2" w:tentative="1">
      <w:start w:val="1"/>
      <w:numFmt w:val="lowerRoman"/>
      <w:lvlText w:val="%3."/>
      <w:lvlJc w:val="right"/>
      <w:pPr>
        <w:ind w:left="1800" w:hanging="180"/>
      </w:pPr>
    </w:lvl>
    <w:lvl w:ilvl="3" w:tplc="E8C09076" w:tentative="1">
      <w:start w:val="1"/>
      <w:numFmt w:val="decimal"/>
      <w:lvlText w:val="%4."/>
      <w:lvlJc w:val="left"/>
      <w:pPr>
        <w:ind w:left="2520" w:hanging="360"/>
      </w:pPr>
    </w:lvl>
    <w:lvl w:ilvl="4" w:tplc="8C3EB600" w:tentative="1">
      <w:start w:val="1"/>
      <w:numFmt w:val="lowerLetter"/>
      <w:lvlText w:val="%5."/>
      <w:lvlJc w:val="left"/>
      <w:pPr>
        <w:ind w:left="3240" w:hanging="360"/>
      </w:pPr>
    </w:lvl>
    <w:lvl w:ilvl="5" w:tplc="A1782A48" w:tentative="1">
      <w:start w:val="1"/>
      <w:numFmt w:val="lowerRoman"/>
      <w:lvlText w:val="%6."/>
      <w:lvlJc w:val="right"/>
      <w:pPr>
        <w:ind w:left="3960" w:hanging="180"/>
      </w:pPr>
    </w:lvl>
    <w:lvl w:ilvl="6" w:tplc="6C882186" w:tentative="1">
      <w:start w:val="1"/>
      <w:numFmt w:val="decimal"/>
      <w:lvlText w:val="%7."/>
      <w:lvlJc w:val="left"/>
      <w:pPr>
        <w:ind w:left="4680" w:hanging="360"/>
      </w:pPr>
    </w:lvl>
    <w:lvl w:ilvl="7" w:tplc="6DEC5A24" w:tentative="1">
      <w:start w:val="1"/>
      <w:numFmt w:val="lowerLetter"/>
      <w:lvlText w:val="%8."/>
      <w:lvlJc w:val="left"/>
      <w:pPr>
        <w:ind w:left="5400" w:hanging="360"/>
      </w:pPr>
    </w:lvl>
    <w:lvl w:ilvl="8" w:tplc="9C8AE8E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D812F8"/>
    <w:multiLevelType w:val="hybridMultilevel"/>
    <w:tmpl w:val="E0FEEEF2"/>
    <w:lvl w:ilvl="0" w:tplc="D7DCB1DE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40FEA550" w:tentative="1">
      <w:start w:val="1"/>
      <w:numFmt w:val="lowerLetter"/>
      <w:lvlText w:val="%2."/>
      <w:lvlJc w:val="left"/>
      <w:pPr>
        <w:ind w:left="1080" w:hanging="360"/>
      </w:pPr>
    </w:lvl>
    <w:lvl w:ilvl="2" w:tplc="5986CD80" w:tentative="1">
      <w:start w:val="1"/>
      <w:numFmt w:val="lowerRoman"/>
      <w:lvlText w:val="%3."/>
      <w:lvlJc w:val="right"/>
      <w:pPr>
        <w:ind w:left="1800" w:hanging="180"/>
      </w:pPr>
    </w:lvl>
    <w:lvl w:ilvl="3" w:tplc="40487948" w:tentative="1">
      <w:start w:val="1"/>
      <w:numFmt w:val="decimal"/>
      <w:lvlText w:val="%4."/>
      <w:lvlJc w:val="left"/>
      <w:pPr>
        <w:ind w:left="2520" w:hanging="360"/>
      </w:pPr>
    </w:lvl>
    <w:lvl w:ilvl="4" w:tplc="57B2C938" w:tentative="1">
      <w:start w:val="1"/>
      <w:numFmt w:val="lowerLetter"/>
      <w:lvlText w:val="%5."/>
      <w:lvlJc w:val="left"/>
      <w:pPr>
        <w:ind w:left="3240" w:hanging="360"/>
      </w:pPr>
    </w:lvl>
    <w:lvl w:ilvl="5" w:tplc="F5B49AB6" w:tentative="1">
      <w:start w:val="1"/>
      <w:numFmt w:val="lowerRoman"/>
      <w:lvlText w:val="%6."/>
      <w:lvlJc w:val="right"/>
      <w:pPr>
        <w:ind w:left="3960" w:hanging="180"/>
      </w:pPr>
    </w:lvl>
    <w:lvl w:ilvl="6" w:tplc="BBA087EC" w:tentative="1">
      <w:start w:val="1"/>
      <w:numFmt w:val="decimal"/>
      <w:lvlText w:val="%7."/>
      <w:lvlJc w:val="left"/>
      <w:pPr>
        <w:ind w:left="4680" w:hanging="360"/>
      </w:pPr>
    </w:lvl>
    <w:lvl w:ilvl="7" w:tplc="F2EA938C" w:tentative="1">
      <w:start w:val="1"/>
      <w:numFmt w:val="lowerLetter"/>
      <w:lvlText w:val="%8."/>
      <w:lvlJc w:val="left"/>
      <w:pPr>
        <w:ind w:left="5400" w:hanging="360"/>
      </w:pPr>
    </w:lvl>
    <w:lvl w:ilvl="8" w:tplc="E3A85FE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BFB7326"/>
    <w:multiLevelType w:val="hybridMultilevel"/>
    <w:tmpl w:val="AFF026C4"/>
    <w:lvl w:ilvl="0" w:tplc="FA96D314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43207368" w:tentative="1">
      <w:start w:val="1"/>
      <w:numFmt w:val="lowerLetter"/>
      <w:lvlText w:val="%2."/>
      <w:lvlJc w:val="left"/>
      <w:pPr>
        <w:ind w:left="1080" w:hanging="360"/>
      </w:pPr>
    </w:lvl>
    <w:lvl w:ilvl="2" w:tplc="CC208B20" w:tentative="1">
      <w:start w:val="1"/>
      <w:numFmt w:val="lowerRoman"/>
      <w:lvlText w:val="%3."/>
      <w:lvlJc w:val="right"/>
      <w:pPr>
        <w:ind w:left="1800" w:hanging="180"/>
      </w:pPr>
    </w:lvl>
    <w:lvl w:ilvl="3" w:tplc="E33C1706" w:tentative="1">
      <w:start w:val="1"/>
      <w:numFmt w:val="decimal"/>
      <w:lvlText w:val="%4."/>
      <w:lvlJc w:val="left"/>
      <w:pPr>
        <w:ind w:left="2520" w:hanging="360"/>
      </w:pPr>
    </w:lvl>
    <w:lvl w:ilvl="4" w:tplc="928EDC00" w:tentative="1">
      <w:start w:val="1"/>
      <w:numFmt w:val="lowerLetter"/>
      <w:lvlText w:val="%5."/>
      <w:lvlJc w:val="left"/>
      <w:pPr>
        <w:ind w:left="3240" w:hanging="360"/>
      </w:pPr>
    </w:lvl>
    <w:lvl w:ilvl="5" w:tplc="8342064A" w:tentative="1">
      <w:start w:val="1"/>
      <w:numFmt w:val="lowerRoman"/>
      <w:lvlText w:val="%6."/>
      <w:lvlJc w:val="right"/>
      <w:pPr>
        <w:ind w:left="3960" w:hanging="180"/>
      </w:pPr>
    </w:lvl>
    <w:lvl w:ilvl="6" w:tplc="C546CB9A" w:tentative="1">
      <w:start w:val="1"/>
      <w:numFmt w:val="decimal"/>
      <w:lvlText w:val="%7."/>
      <w:lvlJc w:val="left"/>
      <w:pPr>
        <w:ind w:left="4680" w:hanging="360"/>
      </w:pPr>
    </w:lvl>
    <w:lvl w:ilvl="7" w:tplc="52AE780E" w:tentative="1">
      <w:start w:val="1"/>
      <w:numFmt w:val="lowerLetter"/>
      <w:lvlText w:val="%8."/>
      <w:lvlJc w:val="left"/>
      <w:pPr>
        <w:ind w:left="5400" w:hanging="360"/>
      </w:pPr>
    </w:lvl>
    <w:lvl w:ilvl="8" w:tplc="3ADC84C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6074220"/>
    <w:multiLevelType w:val="hybridMultilevel"/>
    <w:tmpl w:val="ED7C4F6C"/>
    <w:lvl w:ilvl="0" w:tplc="2FDA4DD0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9C46A712" w:tentative="1">
      <w:start w:val="1"/>
      <w:numFmt w:val="lowerLetter"/>
      <w:lvlText w:val="%2."/>
      <w:lvlJc w:val="left"/>
      <w:pPr>
        <w:ind w:left="1080" w:hanging="360"/>
      </w:pPr>
    </w:lvl>
    <w:lvl w:ilvl="2" w:tplc="DE0AA874" w:tentative="1">
      <w:start w:val="1"/>
      <w:numFmt w:val="lowerRoman"/>
      <w:lvlText w:val="%3."/>
      <w:lvlJc w:val="right"/>
      <w:pPr>
        <w:ind w:left="1800" w:hanging="180"/>
      </w:pPr>
    </w:lvl>
    <w:lvl w:ilvl="3" w:tplc="E21AB0DE" w:tentative="1">
      <w:start w:val="1"/>
      <w:numFmt w:val="decimal"/>
      <w:lvlText w:val="%4."/>
      <w:lvlJc w:val="left"/>
      <w:pPr>
        <w:ind w:left="2520" w:hanging="360"/>
      </w:pPr>
    </w:lvl>
    <w:lvl w:ilvl="4" w:tplc="B37C200E" w:tentative="1">
      <w:start w:val="1"/>
      <w:numFmt w:val="lowerLetter"/>
      <w:lvlText w:val="%5."/>
      <w:lvlJc w:val="left"/>
      <w:pPr>
        <w:ind w:left="3240" w:hanging="360"/>
      </w:pPr>
    </w:lvl>
    <w:lvl w:ilvl="5" w:tplc="2FECFF88" w:tentative="1">
      <w:start w:val="1"/>
      <w:numFmt w:val="lowerRoman"/>
      <w:lvlText w:val="%6."/>
      <w:lvlJc w:val="right"/>
      <w:pPr>
        <w:ind w:left="3960" w:hanging="180"/>
      </w:pPr>
    </w:lvl>
    <w:lvl w:ilvl="6" w:tplc="C2503032" w:tentative="1">
      <w:start w:val="1"/>
      <w:numFmt w:val="decimal"/>
      <w:lvlText w:val="%7."/>
      <w:lvlJc w:val="left"/>
      <w:pPr>
        <w:ind w:left="4680" w:hanging="360"/>
      </w:pPr>
    </w:lvl>
    <w:lvl w:ilvl="7" w:tplc="32C2B71C" w:tentative="1">
      <w:start w:val="1"/>
      <w:numFmt w:val="lowerLetter"/>
      <w:lvlText w:val="%8."/>
      <w:lvlJc w:val="left"/>
      <w:pPr>
        <w:ind w:left="5400" w:hanging="360"/>
      </w:pPr>
    </w:lvl>
    <w:lvl w:ilvl="8" w:tplc="2E10650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D58470B"/>
    <w:multiLevelType w:val="hybridMultilevel"/>
    <w:tmpl w:val="480EAD82"/>
    <w:lvl w:ilvl="0" w:tplc="F8D80D02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4B404276" w:tentative="1">
      <w:start w:val="1"/>
      <w:numFmt w:val="lowerLetter"/>
      <w:lvlText w:val="%2."/>
      <w:lvlJc w:val="left"/>
      <w:pPr>
        <w:ind w:left="1080" w:hanging="360"/>
      </w:pPr>
    </w:lvl>
    <w:lvl w:ilvl="2" w:tplc="F482C924" w:tentative="1">
      <w:start w:val="1"/>
      <w:numFmt w:val="lowerRoman"/>
      <w:lvlText w:val="%3."/>
      <w:lvlJc w:val="right"/>
      <w:pPr>
        <w:ind w:left="1800" w:hanging="180"/>
      </w:pPr>
    </w:lvl>
    <w:lvl w:ilvl="3" w:tplc="FB581DD0" w:tentative="1">
      <w:start w:val="1"/>
      <w:numFmt w:val="decimal"/>
      <w:lvlText w:val="%4."/>
      <w:lvlJc w:val="left"/>
      <w:pPr>
        <w:ind w:left="2520" w:hanging="360"/>
      </w:pPr>
    </w:lvl>
    <w:lvl w:ilvl="4" w:tplc="0926764A" w:tentative="1">
      <w:start w:val="1"/>
      <w:numFmt w:val="lowerLetter"/>
      <w:lvlText w:val="%5."/>
      <w:lvlJc w:val="left"/>
      <w:pPr>
        <w:ind w:left="3240" w:hanging="360"/>
      </w:pPr>
    </w:lvl>
    <w:lvl w:ilvl="5" w:tplc="818A0F3C" w:tentative="1">
      <w:start w:val="1"/>
      <w:numFmt w:val="lowerRoman"/>
      <w:lvlText w:val="%6."/>
      <w:lvlJc w:val="right"/>
      <w:pPr>
        <w:ind w:left="3960" w:hanging="180"/>
      </w:pPr>
    </w:lvl>
    <w:lvl w:ilvl="6" w:tplc="BE60F514" w:tentative="1">
      <w:start w:val="1"/>
      <w:numFmt w:val="decimal"/>
      <w:lvlText w:val="%7."/>
      <w:lvlJc w:val="left"/>
      <w:pPr>
        <w:ind w:left="4680" w:hanging="360"/>
      </w:pPr>
    </w:lvl>
    <w:lvl w:ilvl="7" w:tplc="AE0A2D0C" w:tentative="1">
      <w:start w:val="1"/>
      <w:numFmt w:val="lowerLetter"/>
      <w:lvlText w:val="%8."/>
      <w:lvlJc w:val="left"/>
      <w:pPr>
        <w:ind w:left="5400" w:hanging="360"/>
      </w:pPr>
    </w:lvl>
    <w:lvl w:ilvl="8" w:tplc="894EF8F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56A6DB1"/>
    <w:multiLevelType w:val="hybridMultilevel"/>
    <w:tmpl w:val="CAB060C2"/>
    <w:lvl w:ilvl="0" w:tplc="086E9FE6">
      <w:start w:val="1"/>
      <w:numFmt w:val="decimal"/>
      <w:lvlText w:val="%1 - "/>
      <w:lvlJc w:val="left"/>
      <w:pPr>
        <w:ind w:left="360" w:hanging="360"/>
      </w:pPr>
      <w:rPr>
        <w:rFonts w:hint="default"/>
      </w:rPr>
    </w:lvl>
    <w:lvl w:ilvl="1" w:tplc="C95088B6" w:tentative="1">
      <w:start w:val="1"/>
      <w:numFmt w:val="lowerLetter"/>
      <w:lvlText w:val="%2."/>
      <w:lvlJc w:val="left"/>
      <w:pPr>
        <w:ind w:left="1080" w:hanging="360"/>
      </w:pPr>
    </w:lvl>
    <w:lvl w:ilvl="2" w:tplc="10CC9FC0" w:tentative="1">
      <w:start w:val="1"/>
      <w:numFmt w:val="lowerRoman"/>
      <w:lvlText w:val="%3."/>
      <w:lvlJc w:val="right"/>
      <w:pPr>
        <w:ind w:left="1800" w:hanging="180"/>
      </w:pPr>
    </w:lvl>
    <w:lvl w:ilvl="3" w:tplc="0E8EB8D8" w:tentative="1">
      <w:start w:val="1"/>
      <w:numFmt w:val="decimal"/>
      <w:lvlText w:val="%4."/>
      <w:lvlJc w:val="left"/>
      <w:pPr>
        <w:ind w:left="2520" w:hanging="360"/>
      </w:pPr>
    </w:lvl>
    <w:lvl w:ilvl="4" w:tplc="BCF21082" w:tentative="1">
      <w:start w:val="1"/>
      <w:numFmt w:val="lowerLetter"/>
      <w:lvlText w:val="%5."/>
      <w:lvlJc w:val="left"/>
      <w:pPr>
        <w:ind w:left="3240" w:hanging="360"/>
      </w:pPr>
    </w:lvl>
    <w:lvl w:ilvl="5" w:tplc="A964EB86" w:tentative="1">
      <w:start w:val="1"/>
      <w:numFmt w:val="lowerRoman"/>
      <w:lvlText w:val="%6."/>
      <w:lvlJc w:val="right"/>
      <w:pPr>
        <w:ind w:left="3960" w:hanging="180"/>
      </w:pPr>
    </w:lvl>
    <w:lvl w:ilvl="6" w:tplc="053C26CE" w:tentative="1">
      <w:start w:val="1"/>
      <w:numFmt w:val="decimal"/>
      <w:lvlText w:val="%7."/>
      <w:lvlJc w:val="left"/>
      <w:pPr>
        <w:ind w:left="4680" w:hanging="360"/>
      </w:pPr>
    </w:lvl>
    <w:lvl w:ilvl="7" w:tplc="0756EF16" w:tentative="1">
      <w:start w:val="1"/>
      <w:numFmt w:val="lowerLetter"/>
      <w:lvlText w:val="%8."/>
      <w:lvlJc w:val="left"/>
      <w:pPr>
        <w:ind w:left="5400" w:hanging="360"/>
      </w:pPr>
    </w:lvl>
    <w:lvl w:ilvl="8" w:tplc="B3C4FD08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oana Fernandes Gonçalves">
    <w15:presenceInfo w15:providerId="AD" w15:userId="S-1-5-21-520767452-1976028392-3617209609-124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BFA"/>
    <w:rsid w:val="00156457"/>
    <w:rsid w:val="00533DB3"/>
    <w:rsid w:val="008253D1"/>
    <w:rsid w:val="008374AB"/>
    <w:rsid w:val="00887BFA"/>
    <w:rsid w:val="00B84CF8"/>
    <w:rsid w:val="00BB2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09CE1"/>
  <w15:chartTrackingRefBased/>
  <w15:docId w15:val="{7766F1DF-82C1-4576-9399-AC091C13C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7BFA"/>
    <w:pPr>
      <w:spacing w:before="200" w:after="200" w:line="276" w:lineRule="auto"/>
    </w:pPr>
    <w:rPr>
      <w:rFonts w:ascii="Calibri" w:eastAsia="Calibri" w:hAnsi="Calibri" w:cs="Times New Roman"/>
      <w:sz w:val="20"/>
      <w:szCs w:val="20"/>
      <w:lang w:val="en-US" w:bidi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uiPriority w:val="99"/>
    <w:rsid w:val="00887BFA"/>
    <w:rPr>
      <w:color w:val="0000FF"/>
      <w:u w:val="single"/>
    </w:rPr>
  </w:style>
  <w:style w:type="paragraph" w:styleId="PargrafodaLista">
    <w:name w:val="List Paragraph"/>
    <w:basedOn w:val="Normal"/>
    <w:link w:val="PargrafodaListaCarter"/>
    <w:uiPriority w:val="34"/>
    <w:qFormat/>
    <w:rsid w:val="00887BFA"/>
    <w:pPr>
      <w:widowControl w:val="0"/>
      <w:autoSpaceDE w:val="0"/>
      <w:autoSpaceDN w:val="0"/>
      <w:adjustRightInd w:val="0"/>
      <w:spacing w:before="120" w:after="120" w:line="280" w:lineRule="exact"/>
      <w:ind w:left="720"/>
      <w:contextualSpacing/>
    </w:pPr>
    <w:rPr>
      <w:rFonts w:ascii="Verdana" w:eastAsia="Times New Roman" w:hAnsi="Verdana" w:cs="WP MathB"/>
      <w:color w:val="000000"/>
      <w:lang w:bidi="ar-SA"/>
    </w:rPr>
  </w:style>
  <w:style w:type="character" w:customStyle="1" w:styleId="PargrafodaListaCarter">
    <w:name w:val="Parágrafo da Lista Caráter"/>
    <w:link w:val="PargrafodaLista"/>
    <w:uiPriority w:val="34"/>
    <w:rsid w:val="00887BFA"/>
    <w:rPr>
      <w:rFonts w:ascii="Verdana" w:eastAsia="Times New Roman" w:hAnsi="Verdana" w:cs="WP MathB"/>
      <w:color w:val="000000"/>
      <w:sz w:val="20"/>
      <w:szCs w:val="20"/>
      <w:lang w:val="en-US"/>
    </w:rPr>
  </w:style>
  <w:style w:type="character" w:styleId="Refdecomentrio">
    <w:name w:val="annotation reference"/>
    <w:basedOn w:val="Tipodeletrapredefinidodopargrafo"/>
    <w:semiHidden/>
    <w:unhideWhenUsed/>
    <w:rsid w:val="00156457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156457"/>
    <w:pPr>
      <w:spacing w:line="240" w:lineRule="auto"/>
    </w:p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156457"/>
    <w:rPr>
      <w:rFonts w:ascii="Calibri" w:eastAsia="Calibri" w:hAnsi="Calibri" w:cs="Times New Roman"/>
      <w:sz w:val="20"/>
      <w:szCs w:val="20"/>
      <w:lang w:val="en-US" w:bidi="en-US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156457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156457"/>
    <w:rPr>
      <w:rFonts w:ascii="Calibri" w:eastAsia="Calibri" w:hAnsi="Calibri" w:cs="Times New Roman"/>
      <w:b/>
      <w:bCs/>
      <w:sz w:val="20"/>
      <w:szCs w:val="20"/>
      <w:lang w:val="en-US" w:bidi="en-US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15645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156457"/>
    <w:rPr>
      <w:rFonts w:ascii="Segoe UI" w:eastAsia="Calibri" w:hAnsi="Segoe UI" w:cs="Segoe UI"/>
      <w:sz w:val="18"/>
      <w:szCs w:val="18"/>
      <w:lang w:val="en-US" w:bidi="en-US"/>
    </w:rPr>
  </w:style>
  <w:style w:type="paragraph" w:styleId="Cabealho">
    <w:name w:val="header"/>
    <w:basedOn w:val="Normal"/>
    <w:link w:val="CabealhoCarter"/>
    <w:uiPriority w:val="99"/>
    <w:unhideWhenUsed/>
    <w:rsid w:val="00156457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56457"/>
    <w:rPr>
      <w:rFonts w:ascii="Calibri" w:eastAsia="Calibri" w:hAnsi="Calibri" w:cs="Times New Roman"/>
      <w:sz w:val="20"/>
      <w:szCs w:val="20"/>
      <w:lang w:val="en-US" w:bidi="en-US"/>
    </w:rPr>
  </w:style>
  <w:style w:type="paragraph" w:styleId="Rodap">
    <w:name w:val="footer"/>
    <w:basedOn w:val="Normal"/>
    <w:link w:val="RodapCarter"/>
    <w:uiPriority w:val="99"/>
    <w:unhideWhenUsed/>
    <w:rsid w:val="00156457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156457"/>
    <w:rPr>
      <w:rFonts w:ascii="Calibri" w:eastAsia="Calibri" w:hAnsi="Calibri" w:cs="Times New Roman"/>
      <w:sz w:val="20"/>
      <w:szCs w:val="20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apoio-juridico@inesctec.p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1169</Words>
  <Characters>6318</Characters>
  <Application>Microsoft Office Word</Application>
  <DocSecurity>0</DocSecurity>
  <Lines>52</Lines>
  <Paragraphs>14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INESC TEC</Company>
  <LinksUpToDate>false</LinksUpToDate>
  <CharactersWithSpaces>7473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 Fernandes Gonçalves</dc:creator>
  <cp:keywords/>
  <dc:description/>
  <cp:lastModifiedBy>Soraia Teixeira Ramos</cp:lastModifiedBy>
  <cp:revision>2</cp:revision>
  <dcterms:created xsi:type="dcterms:W3CDTF">2019-10-30T15:38:00Z</dcterms:created>
  <dcterms:modified xsi:type="dcterms:W3CDTF">2019-10-30T15:38:00Z</dcterms:modified>
</cp:coreProperties>
</file>